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AE" w:rsidRPr="009956C4" w:rsidRDefault="009762AE" w:rsidP="009762AE">
      <w:pPr>
        <w:jc w:val="center"/>
        <w:rPr>
          <w:rFonts w:cs="Arial"/>
          <w:b/>
          <w:sz w:val="4"/>
          <w:szCs w:val="18"/>
          <w:lang w:val="es-BO"/>
        </w:rPr>
      </w:pPr>
    </w:p>
    <w:p w:rsidR="009762AE" w:rsidRPr="009956C4" w:rsidRDefault="009762AE" w:rsidP="009762AE">
      <w:pPr>
        <w:jc w:val="both"/>
        <w:rPr>
          <w:rFonts w:cs="Arial"/>
          <w:sz w:val="2"/>
          <w:szCs w:val="18"/>
          <w:lang w:val="es-BO"/>
        </w:rPr>
      </w:pPr>
    </w:p>
    <w:p w:rsidR="009762AE" w:rsidRPr="009956C4" w:rsidRDefault="009762AE" w:rsidP="009762AE">
      <w:pPr>
        <w:jc w:val="both"/>
        <w:rPr>
          <w:rFonts w:cs="Arial"/>
          <w:sz w:val="2"/>
          <w:szCs w:val="18"/>
          <w:lang w:val="es-BO"/>
        </w:rPr>
      </w:pPr>
    </w:p>
    <w:p w:rsidR="009762AE" w:rsidRDefault="009762AE" w:rsidP="009762AE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9762AE" w:rsidRPr="005B660C" w:rsidRDefault="009762AE" w:rsidP="009762AE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762AE" w:rsidRPr="009956C4" w:rsidTr="00FE4627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762AE" w:rsidRPr="009956C4" w:rsidRDefault="009762AE" w:rsidP="00C0119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762AE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9762AE" w:rsidRPr="009956C4" w:rsidTr="00FE462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9762AE" w:rsidRPr="009956C4" w:rsidTr="00FE4627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6B2A5B" w:rsidRDefault="009762AE" w:rsidP="00FE4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</w:tr>
      <w:tr w:rsidR="009762AE" w:rsidRPr="009956C4" w:rsidTr="00FE4627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6B2A5B" w:rsidRDefault="009762AE" w:rsidP="00FE4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</w:tr>
      <w:tr w:rsidR="009762AE" w:rsidRPr="009956C4" w:rsidTr="00FE4627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9762AE" w:rsidRPr="009956C4" w:rsidTr="00FE4627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6B2A5B" w:rsidRDefault="009762AE" w:rsidP="00FE4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8"/>
        <w:gridCol w:w="283"/>
        <w:gridCol w:w="283"/>
        <w:gridCol w:w="278"/>
        <w:gridCol w:w="280"/>
        <w:gridCol w:w="280"/>
        <w:gridCol w:w="303"/>
        <w:gridCol w:w="7"/>
        <w:gridCol w:w="271"/>
        <w:gridCol w:w="10"/>
        <w:gridCol w:w="280"/>
        <w:gridCol w:w="280"/>
        <w:gridCol w:w="279"/>
        <w:gridCol w:w="278"/>
        <w:gridCol w:w="277"/>
        <w:gridCol w:w="278"/>
        <w:gridCol w:w="278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7"/>
        <w:gridCol w:w="257"/>
      </w:tblGrid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trHeight w:val="227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6B2A5B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 DE CONDUCTORES PARA REGIONAL COBIJA – GESTIÓN 2023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0" w:type="dxa"/>
            <w:shd w:val="clear" w:color="auto" w:fill="FFFFFF" w:themeFill="background1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8" w:type="dxa"/>
            <w:gridSpan w:val="10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gridSpan w:val="2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0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8" w:type="dxa"/>
            <w:shd w:val="clear" w:color="auto" w:fill="FFFFFF" w:themeFill="background1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786D54" w:rsidRDefault="009762AE" w:rsidP="00FE4627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8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3365"/>
              <w:gridCol w:w="851"/>
              <w:gridCol w:w="1138"/>
              <w:gridCol w:w="852"/>
              <w:gridCol w:w="1272"/>
            </w:tblGrid>
            <w:tr w:rsidR="009762AE" w:rsidRPr="0033710F" w:rsidTr="00FE4627">
              <w:trPr>
                <w:trHeight w:val="10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REF. UNITARIO (BS.)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PRECIO REFERENCIAL TOTAL </w:t>
                  </w: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(BS.)</w:t>
                  </w:r>
                </w:p>
              </w:tc>
            </w:tr>
            <w:tr w:rsidR="009762AE" w:rsidRPr="0033710F" w:rsidTr="00FE4627">
              <w:trPr>
                <w:trHeight w:val="5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Conductor de aluminio desnudo ACSR 1/0 AWG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Mts.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10,16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15.240,00</w:t>
                  </w:r>
                </w:p>
              </w:tc>
            </w:tr>
            <w:tr w:rsidR="009762AE" w:rsidRPr="0033710F" w:rsidTr="00FE4627">
              <w:trPr>
                <w:trHeight w:val="5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Conductor de aluminio </w:t>
                  </w:r>
                  <w:proofErr w:type="spellStart"/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cuadruplex</w:t>
                  </w:r>
                  <w:proofErr w:type="spellEnd"/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1/0 AWG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Mts.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44,13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88.260,00</w:t>
                  </w:r>
                </w:p>
              </w:tc>
            </w:tr>
            <w:tr w:rsidR="009762AE" w:rsidRPr="0033710F" w:rsidTr="00FE4627">
              <w:trPr>
                <w:trHeight w:val="5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Cable de cobre desnudo 35 mm2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Mts.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48,30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9.660,00</w:t>
                  </w:r>
                </w:p>
              </w:tc>
            </w:tr>
            <w:tr w:rsidR="009762AE" w:rsidRPr="0033710F" w:rsidTr="00FE4627">
              <w:trPr>
                <w:trHeight w:val="5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Conductor de aluminio </w:t>
                  </w:r>
                  <w:proofErr w:type="spellStart"/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cuadruplex</w:t>
                  </w:r>
                  <w:proofErr w:type="spellEnd"/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2/0 AWG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Mts.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57,14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79.996,00</w:t>
                  </w:r>
                </w:p>
              </w:tc>
            </w:tr>
            <w:tr w:rsidR="009762AE" w:rsidRPr="0033710F" w:rsidTr="00FE4627">
              <w:trPr>
                <w:trHeight w:val="5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Cable de cobre aislado de 95 mm2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Mts.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107,09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21.418,00</w:t>
                  </w:r>
                </w:p>
              </w:tc>
            </w:tr>
            <w:tr w:rsidR="009762AE" w:rsidRPr="006B63E3" w:rsidTr="00FE4627">
              <w:trPr>
                <w:trHeight w:val="496"/>
              </w:trPr>
              <w:tc>
                <w:tcPr>
                  <w:tcW w:w="6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</w:t>
                  </w: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REFERENCIAL Bs.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9762AE" w:rsidRPr="006B63E3" w:rsidRDefault="009762AE" w:rsidP="00FE462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B63E3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214.574,00</w:t>
                  </w:r>
                </w:p>
              </w:tc>
            </w:tr>
          </w:tbl>
          <w:p w:rsidR="009762AE" w:rsidRPr="00786D54" w:rsidRDefault="009762AE" w:rsidP="00FE4627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trHeight w:val="3156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786D54" w:rsidRDefault="009762AE" w:rsidP="00FE462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786D54" w:rsidRDefault="009762AE" w:rsidP="00FE462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786D54" w:rsidRDefault="009762AE" w:rsidP="00FE462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786D54" w:rsidRDefault="009762AE" w:rsidP="00FE462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786D54" w:rsidRDefault="009762AE" w:rsidP="00FE462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trHeight w:val="24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74" w:type="dxa"/>
            <w:gridSpan w:val="17"/>
            <w:tcBorders>
              <w:left w:val="single" w:sz="4" w:space="0" w:color="auto"/>
            </w:tcBorders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B74334" w:rsidRDefault="009762AE" w:rsidP="00FE4627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Default="009762AE" w:rsidP="00FE462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pl</w:t>
            </w:r>
            <w:r>
              <w:rPr>
                <w:rFonts w:ascii="Tahoma" w:hAnsi="Tahoma" w:cs="Tahoma"/>
              </w:rPr>
              <w:t xml:space="preserve">azo de entrega establecido para todos los ítems </w:t>
            </w:r>
            <w:r w:rsidRPr="00F22330">
              <w:rPr>
                <w:rFonts w:ascii="Tahoma" w:hAnsi="Tahoma" w:cs="Tahoma"/>
              </w:rPr>
              <w:t xml:space="preserve">de </w:t>
            </w:r>
            <w:r>
              <w:rPr>
                <w:rFonts w:ascii="Tahoma" w:hAnsi="Tahoma" w:cs="Tahoma"/>
                <w:b/>
              </w:rPr>
              <w:t>20</w:t>
            </w:r>
            <w:r w:rsidRPr="00EB0325">
              <w:rPr>
                <w:rFonts w:ascii="Tahoma" w:hAnsi="Tahoma" w:cs="Tahoma"/>
                <w:b/>
              </w:rPr>
              <w:t xml:space="preserve"> 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firma de contrato, pudiendo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9762AE" w:rsidRPr="00F22330" w:rsidRDefault="009762AE" w:rsidP="00FE462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</w:p>
          <w:p w:rsidR="009762AE" w:rsidRDefault="009762AE" w:rsidP="00FE462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retraso en el plazo de entrega establecido con el proponente adjudicado, que no justifique causal de fuerza mayor, será penalizado con una multa.</w:t>
            </w:r>
          </w:p>
          <w:p w:rsidR="009762AE" w:rsidRPr="00B74334" w:rsidRDefault="009762AE" w:rsidP="00FE4627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Default="009762AE" w:rsidP="00FE4627">
            <w:pPr>
              <w:jc w:val="both"/>
              <w:rPr>
                <w:rFonts w:ascii="Tahoma" w:hAnsi="Tahoma" w:cs="Tahoma"/>
              </w:rPr>
            </w:pPr>
            <w:r w:rsidRPr="00087CC0">
              <w:rPr>
                <w:rFonts w:ascii="Tahoma" w:hAnsi="Tahoma" w:cs="Tahoma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9762AE" w:rsidRPr="00087CC0" w:rsidRDefault="009762AE" w:rsidP="00FE4627">
            <w:pPr>
              <w:jc w:val="both"/>
              <w:rPr>
                <w:rFonts w:ascii="Tahoma" w:hAnsi="Tahoma" w:cs="Tahoma"/>
              </w:rPr>
            </w:pPr>
          </w:p>
          <w:p w:rsidR="009762AE" w:rsidRPr="00087CC0" w:rsidRDefault="009762AE" w:rsidP="00FE4627">
            <w:pPr>
              <w:jc w:val="both"/>
              <w:rPr>
                <w:rFonts w:ascii="Tahoma" w:hAnsi="Tahoma" w:cs="Tahoma"/>
              </w:rPr>
            </w:pPr>
            <w:r w:rsidRPr="00087CC0">
              <w:rPr>
                <w:rFonts w:ascii="Tahoma" w:hAnsi="Tahoma" w:cs="Tahoma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(Según corresponda) del monto del contrato con una vigencia a partida de la firma de contrato hasta la recepción definitiva del bien.</w:t>
            </w:r>
          </w:p>
          <w:p w:rsidR="009762AE" w:rsidRPr="009956C4" w:rsidRDefault="009762AE" w:rsidP="00FE4627">
            <w:pPr>
              <w:pStyle w:val="Sinespaciado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762AE" w:rsidRPr="009956C4" w:rsidTr="00FE462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762AE" w:rsidRPr="00156685" w:rsidRDefault="009762AE" w:rsidP="00FE4627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9762AE" w:rsidRPr="009956C4" w:rsidTr="00FE4627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9762AE" w:rsidRPr="009956C4" w:rsidRDefault="009762AE" w:rsidP="00FE462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4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62AE" w:rsidRPr="009956C4" w:rsidTr="00FE4627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762AE" w:rsidRPr="009956C4" w:rsidRDefault="009762AE" w:rsidP="00C0119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762AE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9762A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9762AE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Default="009762AE" w:rsidP="00FE4627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9762AE" w:rsidRPr="009956C4" w:rsidRDefault="009762AE" w:rsidP="00FE4627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762AE" w:rsidRPr="009956C4" w:rsidRDefault="009762AE" w:rsidP="00FE4627">
            <w:pPr>
              <w:rPr>
                <w:rFonts w:ascii="Arial" w:hAnsi="Arial" w:cs="Arial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62AE" w:rsidRPr="009956C4" w:rsidTr="00FE4627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402294" w:rsidRDefault="009762AE" w:rsidP="00FE4627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62AE" w:rsidRPr="009956C4" w:rsidTr="00FE462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62AE" w:rsidRPr="009956C4" w:rsidTr="00FE4627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9762AE" w:rsidRPr="009956C4" w:rsidRDefault="009762AE" w:rsidP="00FE462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9762AE" w:rsidRDefault="009762AE" w:rsidP="009762AE">
      <w:pPr>
        <w:rPr>
          <w:lang w:val="es-BO"/>
        </w:rPr>
      </w:pPr>
    </w:p>
    <w:p w:rsidR="009762AE" w:rsidRPr="009956C4" w:rsidRDefault="009762AE" w:rsidP="009762AE">
      <w:pPr>
        <w:pStyle w:val="Ttulo1"/>
        <w:numPr>
          <w:ilvl w:val="0"/>
          <w:numId w:val="0"/>
        </w:numPr>
        <w:ind w:left="567" w:hanging="1418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9762AE" w:rsidRPr="009956C4" w:rsidRDefault="009762AE" w:rsidP="009762AE">
      <w:pPr>
        <w:rPr>
          <w:lang w:val="es-BO"/>
        </w:rPr>
      </w:pPr>
    </w:p>
    <w:tbl>
      <w:tblPr>
        <w:tblW w:w="1049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9762AE" w:rsidRPr="009956C4" w:rsidTr="009762AE">
        <w:trPr>
          <w:trHeight w:val="251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2AE" w:rsidRPr="009956C4" w:rsidRDefault="009762AE" w:rsidP="00FE462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762AE" w:rsidRPr="009956C4" w:rsidRDefault="009762AE" w:rsidP="00C0119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9762AE" w:rsidRPr="009956C4" w:rsidRDefault="009762AE" w:rsidP="00C0119D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9762AE" w:rsidRPr="009956C4" w:rsidRDefault="009762AE" w:rsidP="00C0119D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9762AE" w:rsidRPr="009956C4" w:rsidRDefault="009762AE" w:rsidP="00FE462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9762AE" w:rsidRPr="009956C4" w:rsidRDefault="009762AE" w:rsidP="00C0119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762AE" w:rsidRPr="009956C4" w:rsidRDefault="009762AE" w:rsidP="00C0119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762AE" w:rsidRPr="009956C4" w:rsidRDefault="009762AE" w:rsidP="00FE4627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9762AE" w:rsidRPr="009956C4" w:rsidRDefault="009762AE" w:rsidP="009762AE">
      <w:pPr>
        <w:jc w:val="right"/>
        <w:rPr>
          <w:rFonts w:ascii="Arial" w:hAnsi="Arial" w:cs="Arial"/>
          <w:lang w:val="es-BO"/>
        </w:rPr>
      </w:pPr>
    </w:p>
    <w:p w:rsidR="009762AE" w:rsidRPr="009956C4" w:rsidRDefault="009762AE" w:rsidP="009762AE">
      <w:pPr>
        <w:ind w:hanging="993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9762AE" w:rsidRPr="009956C4" w:rsidRDefault="009762AE" w:rsidP="009762AE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762AE" w:rsidRPr="009956C4" w:rsidTr="009762AE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762AE" w:rsidRPr="009956C4" w:rsidTr="009762A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762AE" w:rsidRPr="009956C4" w:rsidTr="009762AE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762AE" w:rsidRPr="009956C4" w:rsidTr="009762A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77485C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9762AE" w:rsidRPr="0077485C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762AE" w:rsidRPr="009956C4" w:rsidTr="009762AE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9956C4" w:rsidTr="009762A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9956C4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9956C4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A244D6" w:rsidTr="009762A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62AE" w:rsidRPr="00A244D6" w:rsidTr="009762A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62AE" w:rsidRPr="00A244D6" w:rsidRDefault="009762AE" w:rsidP="00FE462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62AE" w:rsidRPr="00A244D6" w:rsidRDefault="009762AE" w:rsidP="00FE462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762AE" w:rsidRPr="00A244D6" w:rsidTr="009762AE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62AE" w:rsidRPr="00A244D6" w:rsidRDefault="009762AE" w:rsidP="00FE462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762AE" w:rsidRPr="00A244D6" w:rsidRDefault="009762AE" w:rsidP="00FE462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62AE" w:rsidRPr="00A244D6" w:rsidRDefault="009762AE" w:rsidP="00FE462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2AE" w:rsidRPr="00A244D6" w:rsidRDefault="009762AE" w:rsidP="00FE462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9762AE" w:rsidRDefault="009762AE" w:rsidP="009762AE">
      <w:pPr>
        <w:rPr>
          <w:rFonts w:cs="Arial"/>
          <w:i/>
          <w:sz w:val="14"/>
          <w:szCs w:val="18"/>
          <w:lang w:val="es-BO"/>
        </w:rPr>
      </w:pPr>
    </w:p>
    <w:p w:rsidR="009762AE" w:rsidRPr="00A244D6" w:rsidRDefault="009762AE" w:rsidP="009762AE">
      <w:pPr>
        <w:ind w:left="-709" w:right="-710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9762AE" w:rsidRPr="0077744B" w:rsidRDefault="009762AE" w:rsidP="009762AE">
      <w:pPr>
        <w:ind w:left="-709" w:right="-710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9762AE" w:rsidRDefault="00C0119D">
      <w:pPr>
        <w:rPr>
          <w:lang w:val="es-BO"/>
        </w:rPr>
      </w:pPr>
      <w:bookmarkStart w:id="4" w:name="_GoBack"/>
      <w:bookmarkEnd w:id="4"/>
    </w:p>
    <w:sectPr w:rsidR="00775B51" w:rsidRPr="009762AE" w:rsidSect="009762AE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E"/>
    <w:rsid w:val="0046751B"/>
    <w:rsid w:val="006347C3"/>
    <w:rsid w:val="0063631F"/>
    <w:rsid w:val="009762AE"/>
    <w:rsid w:val="00C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82CC-5762-4EB7-9E78-B0DD926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AE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62A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762A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762A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762A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762A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762A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762A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762A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762A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2A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762A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762A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762AE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762A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762A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762A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762A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762AE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762A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762AE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762A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762AE"/>
    <w:rPr>
      <w:color w:val="0000FF"/>
      <w:u w:val="single"/>
    </w:rPr>
  </w:style>
  <w:style w:type="paragraph" w:styleId="Encabezado">
    <w:name w:val="header"/>
    <w:basedOn w:val="Normal"/>
    <w:link w:val="EncabezadoCar"/>
    <w:rsid w:val="00976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62AE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76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2AE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762A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762A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9762A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762A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762A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762A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762A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762A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762A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762A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762AE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976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62AE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97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97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9762A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762A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762AE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762A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762A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762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762A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2AE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9762A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762A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9762A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762A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762A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762A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762AE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762AE"/>
    <w:rPr>
      <w:vertAlign w:val="superscript"/>
    </w:rPr>
  </w:style>
  <w:style w:type="paragraph" w:customStyle="1" w:styleId="BodyText21">
    <w:name w:val="Body Text 21"/>
    <w:basedOn w:val="Normal"/>
    <w:rsid w:val="009762A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762A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762A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762AE"/>
  </w:style>
  <w:style w:type="paragraph" w:customStyle="1" w:styleId="Document1">
    <w:name w:val="Document 1"/>
    <w:rsid w:val="009762A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762A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62AE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762A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62AE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762A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762A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762A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762A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762A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762A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762A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762A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762A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762AE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762A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7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9762A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762AE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762A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762AE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762A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762A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762A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762A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762A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762A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762A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762A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762AE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762AE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762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762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9762A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762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762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6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62AE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97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2023-10-11T13:56:00Z</dcterms:created>
  <dcterms:modified xsi:type="dcterms:W3CDTF">2023-10-11T13:56:00Z</dcterms:modified>
</cp:coreProperties>
</file>