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AE" w:rsidRPr="009956C4" w:rsidRDefault="009762AE" w:rsidP="009762AE">
      <w:pPr>
        <w:jc w:val="center"/>
        <w:rPr>
          <w:rFonts w:cs="Arial"/>
          <w:b/>
          <w:sz w:val="4"/>
          <w:szCs w:val="18"/>
          <w:lang w:val="es-BO"/>
        </w:rPr>
      </w:pPr>
    </w:p>
    <w:p w:rsidR="009762AE" w:rsidRPr="009956C4" w:rsidRDefault="009762AE" w:rsidP="009762AE">
      <w:pPr>
        <w:jc w:val="both"/>
        <w:rPr>
          <w:rFonts w:cs="Arial"/>
          <w:sz w:val="2"/>
          <w:szCs w:val="18"/>
          <w:lang w:val="es-BO"/>
        </w:rPr>
      </w:pPr>
    </w:p>
    <w:p w:rsidR="009762AE" w:rsidRPr="009956C4" w:rsidRDefault="009762AE" w:rsidP="009762AE">
      <w:pPr>
        <w:jc w:val="both"/>
        <w:rPr>
          <w:rFonts w:cs="Arial"/>
          <w:sz w:val="2"/>
          <w:szCs w:val="18"/>
          <w:lang w:val="es-BO"/>
        </w:rPr>
      </w:pPr>
    </w:p>
    <w:p w:rsidR="009762AE" w:rsidRDefault="009762AE" w:rsidP="009762AE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9762AE" w:rsidRPr="005B660C" w:rsidRDefault="009762AE" w:rsidP="009762AE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762AE" w:rsidRPr="009956C4" w:rsidTr="00FE4627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62AE" w:rsidRPr="009956C4" w:rsidRDefault="009762AE" w:rsidP="00C0119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762AE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9762AE" w:rsidRPr="009956C4" w:rsidTr="00FE462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9762AE" w:rsidRPr="009956C4" w:rsidTr="00FE4627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6B2A5B" w:rsidRDefault="009762AE" w:rsidP="00FE4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</w:tr>
      <w:tr w:rsidR="009762AE" w:rsidRPr="009956C4" w:rsidTr="00FE4627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</w:tr>
      <w:tr w:rsidR="009762AE" w:rsidRPr="009956C4" w:rsidTr="00FE4627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6B2A5B" w:rsidRDefault="009762AE" w:rsidP="00FE4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ENDE-ANPE-2023-0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</w:tr>
      <w:tr w:rsidR="009762AE" w:rsidRPr="009956C4" w:rsidTr="00FE4627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295"/>
        <w:gridCol w:w="295"/>
        <w:gridCol w:w="282"/>
        <w:gridCol w:w="294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0"/>
        <w:gridCol w:w="805"/>
        <w:gridCol w:w="269"/>
      </w:tblGrid>
      <w:tr w:rsidR="009762AE" w:rsidRPr="009956C4" w:rsidTr="00FE4627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6B2A5B" w:rsidRDefault="009762AE" w:rsidP="00FE4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48"/>
        <w:gridCol w:w="283"/>
        <w:gridCol w:w="283"/>
        <w:gridCol w:w="278"/>
        <w:gridCol w:w="280"/>
        <w:gridCol w:w="280"/>
        <w:gridCol w:w="303"/>
        <w:gridCol w:w="7"/>
        <w:gridCol w:w="271"/>
        <w:gridCol w:w="10"/>
        <w:gridCol w:w="280"/>
        <w:gridCol w:w="280"/>
        <w:gridCol w:w="279"/>
        <w:gridCol w:w="278"/>
        <w:gridCol w:w="277"/>
        <w:gridCol w:w="278"/>
        <w:gridCol w:w="278"/>
        <w:gridCol w:w="279"/>
        <w:gridCol w:w="279"/>
        <w:gridCol w:w="279"/>
        <w:gridCol w:w="279"/>
        <w:gridCol w:w="278"/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7"/>
        <w:gridCol w:w="257"/>
      </w:tblGrid>
      <w:tr w:rsidR="009762AE" w:rsidRPr="009956C4" w:rsidTr="00FE4627">
        <w:trPr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trHeight w:val="227"/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4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6B2A5B" w:rsidRDefault="009762AE" w:rsidP="00FE46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ADQUISICIÓN DE CONDUCTORES PARA REGIONAL COBIJA – GESTIÓN 2023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trHeight w:val="20"/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trHeight w:val="20"/>
          <w:jc w:val="center"/>
        </w:trPr>
        <w:tc>
          <w:tcPr>
            <w:tcW w:w="16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1" w:type="dxa"/>
            <w:gridSpan w:val="10"/>
            <w:tcBorders>
              <w:lef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80" w:type="dxa"/>
            <w:shd w:val="clear" w:color="auto" w:fill="FFFFFF" w:themeFill="background1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8" w:type="dxa"/>
            <w:gridSpan w:val="10"/>
            <w:tcBorders>
              <w:lef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762AE" w:rsidRPr="009956C4" w:rsidTr="00FE4627">
        <w:trPr>
          <w:trHeight w:val="20"/>
          <w:jc w:val="center"/>
        </w:trPr>
        <w:tc>
          <w:tcPr>
            <w:tcW w:w="163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gridSpan w:val="2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762AE" w:rsidRPr="009956C4" w:rsidTr="00FE4627">
        <w:trPr>
          <w:trHeight w:val="20"/>
          <w:jc w:val="center"/>
        </w:trPr>
        <w:tc>
          <w:tcPr>
            <w:tcW w:w="16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1" w:type="dxa"/>
            <w:gridSpan w:val="10"/>
            <w:tcBorders>
              <w:lef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80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762AE" w:rsidRPr="009956C4" w:rsidTr="00FE4627">
        <w:trPr>
          <w:trHeight w:val="20"/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8" w:type="dxa"/>
            <w:shd w:val="clear" w:color="auto" w:fill="FFFFFF" w:themeFill="background1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45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786D54" w:rsidRDefault="009762AE" w:rsidP="00FE4627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sz w:val="14"/>
                <w:highlight w:val="darkCyan"/>
              </w:rPr>
            </w:pPr>
          </w:p>
          <w:tbl>
            <w:tblPr>
              <w:tblW w:w="8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3365"/>
              <w:gridCol w:w="851"/>
              <w:gridCol w:w="1138"/>
              <w:gridCol w:w="852"/>
              <w:gridCol w:w="1272"/>
            </w:tblGrid>
            <w:tr w:rsidR="009762AE" w:rsidRPr="0033710F" w:rsidTr="00FE4627">
              <w:trPr>
                <w:trHeight w:val="109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9762AE" w:rsidRPr="0033710F" w:rsidTr="00FE4627">
              <w:trPr>
                <w:trHeight w:val="57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Conductor de aluminio desnudo ACSR 1/0 AWG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Mts.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10,16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15.240,00</w:t>
                  </w:r>
                </w:p>
              </w:tc>
            </w:tr>
            <w:tr w:rsidR="009762AE" w:rsidRPr="0033710F" w:rsidTr="00FE4627">
              <w:trPr>
                <w:trHeight w:val="57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Conductor de aluminio </w:t>
                  </w:r>
                  <w:proofErr w:type="spellStart"/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cuadruplex</w:t>
                  </w:r>
                  <w:proofErr w:type="spellEnd"/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1/0 AWG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Mts.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44,13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88.260,00</w:t>
                  </w:r>
                </w:p>
              </w:tc>
            </w:tr>
            <w:tr w:rsidR="009762AE" w:rsidRPr="0033710F" w:rsidTr="00FE4627">
              <w:trPr>
                <w:trHeight w:val="57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Cable de cobre desnudo 35 mm2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Mts.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48,30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9.660,00</w:t>
                  </w:r>
                </w:p>
              </w:tc>
            </w:tr>
            <w:tr w:rsidR="009762AE" w:rsidRPr="0033710F" w:rsidTr="00FE4627">
              <w:trPr>
                <w:trHeight w:val="57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Conductor de aluminio </w:t>
                  </w:r>
                  <w:proofErr w:type="spellStart"/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cuadruplex</w:t>
                  </w:r>
                  <w:proofErr w:type="spellEnd"/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2/0 AWG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Mts.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57,14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79.996,00</w:t>
                  </w:r>
                </w:p>
              </w:tc>
            </w:tr>
            <w:tr w:rsidR="009762AE" w:rsidRPr="0033710F" w:rsidTr="00FE4627">
              <w:trPr>
                <w:trHeight w:val="57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Cable de cobre aislado de 95 mm2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Mts.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107,09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21.418,00</w:t>
                  </w:r>
                </w:p>
              </w:tc>
            </w:tr>
            <w:tr w:rsidR="009762AE" w:rsidRPr="006B63E3" w:rsidTr="00FE4627">
              <w:trPr>
                <w:trHeight w:val="496"/>
              </w:trPr>
              <w:tc>
                <w:tcPr>
                  <w:tcW w:w="67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</w:t>
                  </w: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PRECIO REFERENCIAL Bs.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9762AE" w:rsidRPr="006B63E3" w:rsidRDefault="009762AE" w:rsidP="00FE462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B63E3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  <w:t>214.574,00</w:t>
                  </w:r>
                </w:p>
              </w:tc>
            </w:tr>
          </w:tbl>
          <w:p w:rsidR="009762AE" w:rsidRPr="00786D54" w:rsidRDefault="009762AE" w:rsidP="00FE4627">
            <w:pPr>
              <w:jc w:val="both"/>
              <w:rPr>
                <w:rFonts w:ascii="Arial" w:hAnsi="Arial" w:cs="Arial"/>
                <w:b/>
                <w:sz w:val="14"/>
                <w:highlight w:val="darkCyan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trHeight w:val="3156"/>
          <w:jc w:val="center"/>
        </w:trPr>
        <w:tc>
          <w:tcPr>
            <w:tcW w:w="16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5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786D54" w:rsidRDefault="009762AE" w:rsidP="00FE4627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786D54" w:rsidRDefault="009762AE" w:rsidP="00FE4627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786D54" w:rsidRDefault="009762AE" w:rsidP="00FE4627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786D54" w:rsidRDefault="009762AE" w:rsidP="00FE4627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786D54" w:rsidRDefault="009762AE" w:rsidP="00FE4627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trHeight w:val="240"/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24" w:type="dxa"/>
            <w:gridSpan w:val="4"/>
            <w:tcBorders>
              <w:lef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474" w:type="dxa"/>
            <w:gridSpan w:val="17"/>
            <w:tcBorders>
              <w:left w:val="single" w:sz="4" w:space="0" w:color="auto"/>
            </w:tcBorders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B74334" w:rsidRDefault="009762AE" w:rsidP="00FE4627">
            <w:pPr>
              <w:jc w:val="both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B74334">
              <w:rPr>
                <w:rFonts w:ascii="Arial" w:hAnsi="Arial" w:cs="Arial"/>
                <w:sz w:val="14"/>
              </w:rPr>
              <w:t>(en días calendario)</w:t>
            </w:r>
          </w:p>
        </w:tc>
        <w:tc>
          <w:tcPr>
            <w:tcW w:w="845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Default="009762AE" w:rsidP="00FE462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</w:rPr>
            </w:pPr>
            <w:r w:rsidRPr="00F22330">
              <w:rPr>
                <w:rFonts w:ascii="Tahoma" w:hAnsi="Tahoma" w:cs="Tahoma"/>
              </w:rPr>
              <w:t>El pl</w:t>
            </w:r>
            <w:r>
              <w:rPr>
                <w:rFonts w:ascii="Tahoma" w:hAnsi="Tahoma" w:cs="Tahoma"/>
              </w:rPr>
              <w:t xml:space="preserve">azo de entrega establecido para todos los ítems </w:t>
            </w:r>
            <w:r w:rsidRPr="00F22330">
              <w:rPr>
                <w:rFonts w:ascii="Tahoma" w:hAnsi="Tahoma" w:cs="Tahoma"/>
              </w:rPr>
              <w:t xml:space="preserve">de </w:t>
            </w:r>
            <w:r>
              <w:rPr>
                <w:rFonts w:ascii="Tahoma" w:hAnsi="Tahoma" w:cs="Tahoma"/>
                <w:b/>
              </w:rPr>
              <w:t>20</w:t>
            </w:r>
            <w:r w:rsidRPr="00EB0325">
              <w:rPr>
                <w:rFonts w:ascii="Tahoma" w:hAnsi="Tahoma" w:cs="Tahoma"/>
                <w:b/>
              </w:rPr>
              <w:t xml:space="preserve"> días calendario</w:t>
            </w:r>
            <w:r w:rsidRPr="00F2233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computable a parti</w:t>
            </w:r>
            <w:r w:rsidRPr="00F22330">
              <w:rPr>
                <w:rFonts w:ascii="Tahoma" w:hAnsi="Tahoma" w:cs="Tahoma"/>
              </w:rPr>
              <w:t xml:space="preserve">r del día siguiente hábil de la </w:t>
            </w:r>
            <w:r>
              <w:rPr>
                <w:rFonts w:ascii="Tahoma" w:hAnsi="Tahoma" w:cs="Tahoma"/>
              </w:rPr>
              <w:t>firma de contrato, pudiendo ofertar plazos menores</w:t>
            </w:r>
            <w:r w:rsidRPr="00F22330">
              <w:rPr>
                <w:rFonts w:ascii="Tahoma" w:hAnsi="Tahoma" w:cs="Tahoma"/>
              </w:rPr>
              <w:t xml:space="preserve">. </w:t>
            </w:r>
          </w:p>
          <w:p w:rsidR="009762AE" w:rsidRPr="00F22330" w:rsidRDefault="009762AE" w:rsidP="00FE462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</w:rPr>
            </w:pPr>
          </w:p>
          <w:p w:rsidR="009762AE" w:rsidRDefault="009762AE" w:rsidP="00FE462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</w:rPr>
            </w:pPr>
            <w:r w:rsidRPr="00F22330">
              <w:rPr>
                <w:rFonts w:ascii="Tahoma" w:hAnsi="Tahoma" w:cs="Tahoma"/>
              </w:rPr>
              <w:t>El retraso en el plazo de entrega establecido con el proponente adjudicado, que no justifique causal de fuerza mayor, será penalizado con una multa.</w:t>
            </w:r>
          </w:p>
          <w:p w:rsidR="009762AE" w:rsidRPr="00B74334" w:rsidRDefault="009762AE" w:rsidP="00FE4627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5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nil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2"/>
              </w:rPr>
              <w:t>(Suprimir en caso de formalizar con Orden de Compra)</w:t>
            </w:r>
          </w:p>
        </w:tc>
        <w:tc>
          <w:tcPr>
            <w:tcW w:w="845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Default="009762AE" w:rsidP="00FE4627">
            <w:pPr>
              <w:jc w:val="both"/>
              <w:rPr>
                <w:rFonts w:ascii="Tahoma" w:hAnsi="Tahoma" w:cs="Tahoma"/>
              </w:rPr>
            </w:pPr>
            <w:r w:rsidRPr="00087CC0">
              <w:rPr>
                <w:rFonts w:ascii="Tahoma" w:hAnsi="Tahoma" w:cs="Tahoma"/>
              </w:rPr>
              <w:t>Para la suscripción de contrato de acuerdo a lo establecido en el párrafo II del artículo 20 de las NB-SABS el proponente decidirá el tipo de garantía a presentar, entre ellos.</w:t>
            </w:r>
          </w:p>
          <w:p w:rsidR="009762AE" w:rsidRPr="00087CC0" w:rsidRDefault="009762AE" w:rsidP="00FE4627">
            <w:pPr>
              <w:jc w:val="both"/>
              <w:rPr>
                <w:rFonts w:ascii="Tahoma" w:hAnsi="Tahoma" w:cs="Tahoma"/>
              </w:rPr>
            </w:pPr>
          </w:p>
          <w:p w:rsidR="009762AE" w:rsidRPr="00087CC0" w:rsidRDefault="009762AE" w:rsidP="00FE4627">
            <w:pPr>
              <w:jc w:val="both"/>
              <w:rPr>
                <w:rFonts w:ascii="Tahoma" w:hAnsi="Tahoma" w:cs="Tahoma"/>
              </w:rPr>
            </w:pPr>
            <w:r w:rsidRPr="00087CC0">
              <w:rPr>
                <w:rFonts w:ascii="Tahoma" w:hAnsi="Tahoma" w:cs="Tahoma"/>
              </w:rPr>
              <w:t>Boleta de garantía, Garantía a primer requerimiento o Póliza de seguro de caución a primer requerimiento, todos con la característica de renovable, irrevocable y de ejecución inmediata, con el objeto de garantizar la conclusión y entrega del objeto del contrato, la misma será equivalente al siete por ciento (7%) o tres punto cinco por ciento (3.5%) (Según corresponda) del monto del contrato con una vigencia a partida de la firma de contrato hasta la recepción definitiva del bien.</w:t>
            </w:r>
          </w:p>
          <w:p w:rsidR="009762AE" w:rsidRPr="009956C4" w:rsidRDefault="009762AE" w:rsidP="00FE4627">
            <w:pPr>
              <w:pStyle w:val="Sinespaciado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5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63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86"/>
        <w:gridCol w:w="281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762AE" w:rsidRPr="009956C4" w:rsidTr="00FE462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762AE" w:rsidRPr="00156685" w:rsidRDefault="009762AE" w:rsidP="00FE4627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9762AE" w:rsidRPr="009956C4" w:rsidTr="00FE4627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9762AE" w:rsidRPr="009956C4" w:rsidRDefault="009762AE" w:rsidP="00FE462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4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62AE" w:rsidRPr="009956C4" w:rsidTr="00FE4627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62AE" w:rsidRPr="009956C4" w:rsidRDefault="009762AE" w:rsidP="00C0119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762AE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9762A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9762AE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lastRenderedPageBreak/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</w:rPr>
            </w:pPr>
            <w:r w:rsidRPr="000A6B8C">
              <w:rPr>
                <w:rFonts w:ascii="Arial" w:hAnsi="Arial" w:cs="Arial"/>
              </w:rPr>
              <w:t>CALLE COLOMBIA Nº 655</w:t>
            </w:r>
            <w:r>
              <w:rPr>
                <w:rFonts w:ascii="Arial" w:hAnsi="Arial" w:cs="Arial"/>
              </w:rPr>
              <w:t xml:space="preserve">  - COCHABAMBA</w:t>
            </w:r>
          </w:p>
        </w:tc>
        <w:tc>
          <w:tcPr>
            <w:tcW w:w="17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Default="009762AE" w:rsidP="00FE4627">
            <w:pPr>
              <w:rPr>
                <w:rFonts w:ascii="Arial" w:hAnsi="Arial" w:cs="Arial"/>
                <w:sz w:val="14"/>
                <w:szCs w:val="14"/>
              </w:rPr>
            </w:pPr>
            <w:r w:rsidRPr="00036EAE">
              <w:rPr>
                <w:rFonts w:ascii="Arial" w:hAnsi="Arial" w:cs="Arial"/>
                <w:sz w:val="14"/>
                <w:szCs w:val="14"/>
              </w:rPr>
              <w:t>08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036EAE">
              <w:rPr>
                <w:rFonts w:ascii="Arial" w:hAnsi="Arial" w:cs="Arial"/>
                <w:sz w:val="14"/>
                <w:szCs w:val="14"/>
              </w:rPr>
              <w:t>30 a 12:30</w:t>
            </w:r>
          </w:p>
          <w:p w:rsidR="009762AE" w:rsidRPr="009956C4" w:rsidRDefault="009762AE" w:rsidP="00FE4627">
            <w:pPr>
              <w:rPr>
                <w:rFonts w:ascii="Arial" w:hAnsi="Arial" w:cs="Arial"/>
              </w:rPr>
            </w:pPr>
            <w:r w:rsidRPr="00036EAE">
              <w:rPr>
                <w:rFonts w:ascii="Arial" w:hAnsi="Arial" w:cs="Arial"/>
                <w:sz w:val="14"/>
                <w:szCs w:val="14"/>
              </w:rPr>
              <w:t>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9762AE" w:rsidRPr="009956C4" w:rsidRDefault="009762AE" w:rsidP="00FE462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Angelica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</w:t>
            </w:r>
            <w:r w:rsidRPr="007D4F41">
              <w:rPr>
                <w:rFonts w:ascii="Arial" w:hAnsi="Arial" w:cs="Arial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2AE" w:rsidRPr="009956C4" w:rsidRDefault="009762AE" w:rsidP="00FE4627">
            <w:pPr>
              <w:rPr>
                <w:rFonts w:ascii="Arial" w:hAnsi="Arial" w:cs="Arial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62AE" w:rsidRPr="009956C4" w:rsidTr="00FE4627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402294" w:rsidRDefault="009762AE" w:rsidP="00FE4627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jc w:val="both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62AE" w:rsidRPr="009956C4" w:rsidTr="00FE4627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762AE" w:rsidRPr="009956C4" w:rsidTr="00FE4627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762AE" w:rsidRPr="009956C4" w:rsidRDefault="009762AE" w:rsidP="00FE462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9762AE" w:rsidRDefault="009762AE" w:rsidP="009762AE">
      <w:pPr>
        <w:rPr>
          <w:lang w:val="es-BO"/>
        </w:rPr>
      </w:pPr>
    </w:p>
    <w:p w:rsidR="009762AE" w:rsidRPr="009956C4" w:rsidRDefault="009762AE" w:rsidP="009762AE">
      <w:pPr>
        <w:pStyle w:val="Ttulo1"/>
        <w:numPr>
          <w:ilvl w:val="0"/>
          <w:numId w:val="0"/>
        </w:numPr>
        <w:ind w:left="567" w:hanging="1418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9762AE" w:rsidRPr="009956C4" w:rsidRDefault="009762AE" w:rsidP="009762AE">
      <w:pPr>
        <w:rPr>
          <w:lang w:val="es-BO"/>
        </w:rPr>
      </w:pPr>
    </w:p>
    <w:tbl>
      <w:tblPr>
        <w:tblW w:w="1049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9762AE" w:rsidRPr="009956C4" w:rsidTr="009762AE">
        <w:trPr>
          <w:trHeight w:val="251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AE" w:rsidRPr="009956C4" w:rsidRDefault="009762AE" w:rsidP="00FE462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762AE" w:rsidRPr="009956C4" w:rsidRDefault="009762AE" w:rsidP="00C0119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762AE" w:rsidRPr="009956C4" w:rsidRDefault="009762AE" w:rsidP="00C0119D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762AE" w:rsidRPr="009956C4" w:rsidRDefault="009762AE" w:rsidP="00C0119D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9762AE" w:rsidRPr="009956C4" w:rsidRDefault="009762AE" w:rsidP="00FE462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762AE" w:rsidRPr="009956C4" w:rsidRDefault="009762AE" w:rsidP="00C0119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762AE" w:rsidRPr="009956C4" w:rsidRDefault="009762AE" w:rsidP="00C0119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762AE" w:rsidRPr="009956C4" w:rsidRDefault="009762AE" w:rsidP="00FE4627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9762AE" w:rsidRPr="009956C4" w:rsidRDefault="009762AE" w:rsidP="009762AE">
      <w:pPr>
        <w:jc w:val="right"/>
        <w:rPr>
          <w:rFonts w:ascii="Arial" w:hAnsi="Arial" w:cs="Arial"/>
          <w:lang w:val="es-BO"/>
        </w:rPr>
      </w:pPr>
    </w:p>
    <w:p w:rsidR="009762AE" w:rsidRPr="009956C4" w:rsidRDefault="009762AE" w:rsidP="009762AE">
      <w:pPr>
        <w:ind w:hanging="993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762AE" w:rsidRPr="009956C4" w:rsidRDefault="009762AE" w:rsidP="009762AE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7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762AE" w:rsidRPr="009956C4" w:rsidTr="009762AE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762AE" w:rsidRPr="009956C4" w:rsidTr="009762A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762AE" w:rsidRPr="009956C4" w:rsidTr="009762A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762AE" w:rsidRPr="009956C4" w:rsidTr="009762A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77485C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N° 655 (Sala de ENDE) o</w:t>
            </w:r>
          </w:p>
          <w:p w:rsidR="009762AE" w:rsidRPr="0077485C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mediante el enlace: </w:t>
            </w:r>
          </w:p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>https://ende.webex.com/meet/ende.sala5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762AE" w:rsidRPr="009956C4" w:rsidTr="009762AE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9956C4" w:rsidTr="009762A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9956C4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9956C4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A244D6" w:rsidTr="009762A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2AE" w:rsidRPr="00A244D6" w:rsidTr="009762A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62AE" w:rsidRPr="00A244D6" w:rsidRDefault="009762AE" w:rsidP="00FE462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2AE" w:rsidRPr="00A244D6" w:rsidRDefault="009762AE" w:rsidP="00FE462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762AE" w:rsidRPr="00A244D6" w:rsidTr="009762AE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62AE" w:rsidRPr="00A244D6" w:rsidRDefault="009762AE" w:rsidP="00FE462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762AE" w:rsidRPr="00A244D6" w:rsidRDefault="009762AE" w:rsidP="00FE462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62AE" w:rsidRPr="00A244D6" w:rsidRDefault="009762AE" w:rsidP="00FE462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2AE" w:rsidRPr="00A244D6" w:rsidRDefault="009762AE" w:rsidP="00FE46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9762AE" w:rsidRDefault="009762AE" w:rsidP="009762AE">
      <w:pPr>
        <w:rPr>
          <w:rFonts w:cs="Arial"/>
          <w:i/>
          <w:sz w:val="14"/>
          <w:szCs w:val="18"/>
          <w:lang w:val="es-BO"/>
        </w:rPr>
      </w:pPr>
    </w:p>
    <w:p w:rsidR="009762AE" w:rsidRPr="00A244D6" w:rsidRDefault="009762AE" w:rsidP="009762AE">
      <w:pPr>
        <w:ind w:left="-709" w:right="-710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762AE" w:rsidRPr="0077744B" w:rsidRDefault="009762AE" w:rsidP="009762AE">
      <w:pPr>
        <w:ind w:left="-709" w:right="-710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9762AE" w:rsidRDefault="00C0119D">
      <w:pPr>
        <w:rPr>
          <w:lang w:val="es-BO"/>
        </w:rPr>
      </w:pPr>
      <w:bookmarkStart w:id="4" w:name="_GoBack"/>
      <w:bookmarkEnd w:id="4"/>
    </w:p>
    <w:sectPr w:rsidR="00775B51" w:rsidRPr="009762AE" w:rsidSect="009762AE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AE"/>
    <w:rsid w:val="0046751B"/>
    <w:rsid w:val="006347C3"/>
    <w:rsid w:val="0063631F"/>
    <w:rsid w:val="009762AE"/>
    <w:rsid w:val="00C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82CC-5762-4EB7-9E78-B0DD9264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AE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62A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762A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762A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762A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762A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762A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762A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762A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762A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62A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762A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762A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762AE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9762AE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762AE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9762A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762A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762AE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762A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762AE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9762A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762AE"/>
    <w:rPr>
      <w:color w:val="0000FF"/>
      <w:u w:val="single"/>
    </w:rPr>
  </w:style>
  <w:style w:type="paragraph" w:styleId="Encabezado">
    <w:name w:val="header"/>
    <w:basedOn w:val="Normal"/>
    <w:link w:val="EncabezadoCar"/>
    <w:rsid w:val="00976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762AE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976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2AE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9762A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762A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uiPriority w:val="34"/>
    <w:qFormat/>
    <w:rsid w:val="009762A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762A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762A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762A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762A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762A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762A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762A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762AE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9762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62AE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97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7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9762A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762A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762AE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9762A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762A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762A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762A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762AE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9762A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762A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9762A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762A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762A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762A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762AE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9762AE"/>
    <w:rPr>
      <w:vertAlign w:val="superscript"/>
    </w:rPr>
  </w:style>
  <w:style w:type="paragraph" w:customStyle="1" w:styleId="BodyText21">
    <w:name w:val="Body Text 21"/>
    <w:basedOn w:val="Normal"/>
    <w:rsid w:val="009762A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762A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762A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762AE"/>
  </w:style>
  <w:style w:type="paragraph" w:customStyle="1" w:styleId="Document1">
    <w:name w:val="Document 1"/>
    <w:rsid w:val="009762A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762A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762AE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9762A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762AE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9762A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762A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9762A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762A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762A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762A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762A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762A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762A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762AE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762A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7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9762A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762AE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9762A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762AE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762A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762A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762A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762A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9762A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762A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762A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762A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762AE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uiPriority w:val="34"/>
    <w:locked/>
    <w:rsid w:val="009762AE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762A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762A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9762A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762A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762A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76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762AE"/>
    <w:rPr>
      <w:rFonts w:ascii="Courier New" w:eastAsia="Times New Roman" w:hAnsi="Courier New" w:cs="Courier New"/>
      <w:sz w:val="20"/>
      <w:szCs w:val="20"/>
      <w:lang w:val="es-BO" w:eastAsia="es-BO"/>
    </w:rPr>
  </w:style>
  <w:style w:type="character" w:customStyle="1" w:styleId="y2iqfc">
    <w:name w:val="y2iqfc"/>
    <w:basedOn w:val="Fuentedeprrafopredeter"/>
    <w:rsid w:val="0097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2023-10-11T13:56:00Z</dcterms:created>
  <dcterms:modified xsi:type="dcterms:W3CDTF">2023-10-11T13:56:00Z</dcterms:modified>
</cp:coreProperties>
</file>