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63" w:rsidRDefault="00683D63" w:rsidP="00683D63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:rsidR="00683D63" w:rsidRPr="000C6821" w:rsidRDefault="00683D63" w:rsidP="00683D63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683D63" w:rsidRDefault="00683D63" w:rsidP="00B31C13">
      <w:pPr>
        <w:pStyle w:val="Ttulo10"/>
        <w:numPr>
          <w:ilvl w:val="0"/>
          <w:numId w:val="5"/>
        </w:numPr>
        <w:spacing w:before="0" w:after="0"/>
        <w:ind w:left="-851" w:hanging="283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683D63" w:rsidRPr="000C6821" w:rsidRDefault="00683D63" w:rsidP="00683D63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683D63" w:rsidRPr="000C6821" w:rsidRDefault="00683D63" w:rsidP="00683D63">
      <w:pPr>
        <w:ind w:left="420"/>
        <w:rPr>
          <w:sz w:val="2"/>
          <w:szCs w:val="2"/>
          <w:lang w:val="es-BO"/>
        </w:rPr>
      </w:pPr>
    </w:p>
    <w:p w:rsidR="00683D63" w:rsidRPr="000C6821" w:rsidRDefault="00683D63" w:rsidP="00B31C13">
      <w:pPr>
        <w:numPr>
          <w:ilvl w:val="0"/>
          <w:numId w:val="2"/>
        </w:numPr>
        <w:rPr>
          <w:sz w:val="2"/>
          <w:szCs w:val="2"/>
          <w:lang w:val="es-BO"/>
        </w:rPr>
      </w:pPr>
    </w:p>
    <w:p w:rsidR="00683D63" w:rsidRPr="000C6821" w:rsidRDefault="00683D63" w:rsidP="00B31C13">
      <w:pPr>
        <w:numPr>
          <w:ilvl w:val="0"/>
          <w:numId w:val="2"/>
        </w:numPr>
        <w:rPr>
          <w:sz w:val="2"/>
          <w:szCs w:val="2"/>
          <w:lang w:val="es-BO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27"/>
        <w:gridCol w:w="226"/>
        <w:gridCol w:w="380"/>
        <w:gridCol w:w="358"/>
        <w:gridCol w:w="316"/>
        <w:gridCol w:w="8"/>
        <w:gridCol w:w="358"/>
        <w:gridCol w:w="358"/>
        <w:gridCol w:w="358"/>
        <w:gridCol w:w="358"/>
        <w:gridCol w:w="321"/>
        <w:gridCol w:w="358"/>
        <w:gridCol w:w="358"/>
        <w:gridCol w:w="319"/>
        <w:gridCol w:w="290"/>
        <w:gridCol w:w="379"/>
        <w:gridCol w:w="290"/>
        <w:gridCol w:w="290"/>
        <w:gridCol w:w="290"/>
        <w:gridCol w:w="290"/>
        <w:gridCol w:w="290"/>
        <w:gridCol w:w="319"/>
        <w:gridCol w:w="358"/>
        <w:gridCol w:w="319"/>
        <w:gridCol w:w="358"/>
        <w:gridCol w:w="317"/>
        <w:gridCol w:w="310"/>
        <w:gridCol w:w="306"/>
        <w:gridCol w:w="290"/>
        <w:gridCol w:w="290"/>
        <w:gridCol w:w="290"/>
        <w:gridCol w:w="222"/>
      </w:tblGrid>
      <w:tr w:rsidR="00683D63" w:rsidRPr="000C6821" w:rsidTr="001D1EC4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83D63" w:rsidRPr="000C6821" w:rsidRDefault="00683D63" w:rsidP="00B31C13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683D63" w:rsidRPr="000C6821" w:rsidTr="001D1EC4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3D63" w:rsidRPr="000C6821" w:rsidTr="001D1EC4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ADQUISICION DE REPUESTOS ELECTROMECANICOS RIBERALTA –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3D63" w:rsidRPr="000C6821" w:rsidTr="001D1EC4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7" w:type="dxa"/>
            <w:gridSpan w:val="15"/>
            <w:tcBorders>
              <w:right w:val="single" w:sz="4" w:space="0" w:color="auto"/>
            </w:tcBorders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ENDE-LP-2023-004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889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060"/>
              <w:gridCol w:w="1134"/>
              <w:gridCol w:w="992"/>
              <w:gridCol w:w="1418"/>
              <w:gridCol w:w="1646"/>
            </w:tblGrid>
            <w:tr w:rsidR="00683D63" w:rsidRPr="00635C72" w:rsidTr="001D1EC4">
              <w:trPr>
                <w:trHeight w:val="311"/>
              </w:trPr>
              <w:tc>
                <w:tcPr>
                  <w:tcW w:w="889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LOTE Nº 1</w:t>
                  </w:r>
                </w:p>
              </w:tc>
            </w:tr>
            <w:tr w:rsidR="00683D63" w:rsidRPr="00635C72" w:rsidTr="001D1EC4">
              <w:trPr>
                <w:trHeight w:val="36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N°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CONCEPTO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UNIDAD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REF. UNITARIO (BS.)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538135" w:themeFill="accent6" w:themeFillShade="BF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 xml:space="preserve">PRECIO REFERENCIAL TOTAL </w:t>
                  </w: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br/>
                    <w:t>(BS.)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INYECTOR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32.313,17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517.010,72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 CABEZAL CILINDR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35.949,70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575.195,20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PISTON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19.674,93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314.798,88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DE NUCLEO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78.595,41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78.595,41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KIT EMPAQUETADURA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4.905,48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156.975,36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NUCLEO POSENFRIADOR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77.535,93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77.535,93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REVESTIMIENTO CILINDRO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4.547,90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145.532,80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CARTRIDGE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72.225,78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144.451,56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NUCLEO POSENFRIADOR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67.738,17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67.738,17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TURBO GROUP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63.728,11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127.456,22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LEVANTAMIENTO VÁLVULA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3.639,64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127.387,40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VALVULA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1.179,61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75.495,04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EJE LEVA FRONTAL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61.272,28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61.272,28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EJE LEVA FRONTAL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58.211,60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58.211,60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CASQUILLO V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923,39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59.096,96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RESORTE DEL LEVANTADOR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3.636,33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58.181,28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EJE LEVA FRONTAL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61.272,28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61.272,28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EJE LEVA FRONTAL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58.211,60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58.211,60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VALVULA ADMISION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894,38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57.240,32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ESPACIADOR PLACA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3.574,75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57.196,00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 REPARACION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15.969,47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111.786,29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MAZO CABLES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27.529,16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55.058,32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MAZO DE CABLES- 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45.654,90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91.309,80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DESCANSO BIELA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2.420,54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38.728,64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DE SENSOR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2.965,45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77.101,70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PERNO ENSAMBLE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714,31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35.715,50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MOTOR AS-PRE 497-5568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36.853,22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36.853,22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CONTROL-A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17.577,72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35.155,44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29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INSERTO PARA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507,70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32.492,80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ARO DE PISTON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839,23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26.855,36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SENSOR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2.965,45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53.378,10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ANILLO DE PISTON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830,88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26.588,16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DE SENSOR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2.965,45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50.412,65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 REPARACION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11.472,52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22.945,04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MOTOR DE ARRANQUE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22.276,83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22.276,83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DE SENSOR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2.965,45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41.516,30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SENSOR DE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2.756,72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41.350,80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 ANILLO 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431,95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40.603,30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39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MAZO CABLES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306,28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9.800,96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lastRenderedPageBreak/>
                    <w:t>40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RESORTE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262,15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16.777,60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GRUPO DE SENSOR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2.965,45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32.619,95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METAL EJE LEVAS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858,80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30.916,80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ROTADOR DE VALVULAS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219,26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14.032,64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PERNO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1.035,12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28.983,36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SENSOR DE PRESION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2.756,72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27.567,20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ARANDELA/GOLILLA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169,05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27.555,15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GUIA DE VALVULA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212,74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13.615,36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ANILLO PISTON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830,88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26.588,16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PASADOR PISTON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1.649,70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26.395,20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ROTADOR DE VALVULAS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198,70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12.716,80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CONTROL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2.254,21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24.796,31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VALVULA VARILLA DE EMPUJE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383,91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24.570,24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GUIA DE VALVULA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187,63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12.008,32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VARISTOR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5.962,88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5.962,88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MAZO DE CABLES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7.831,30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23.493,90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 COMBUSTIBLE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175,08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11.205,12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RESORTE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152,79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9.778,56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CONJUNTO DE SELLO DEL CIGÜEÑAL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3.216,24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19.297,44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VASTAGO INYECCION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598,18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19.141,76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INTERRUPTOR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1.535,31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18.423,72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 COMBUSTIBLE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129,72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8.302,08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RECIPIENTE 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432,34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15.564,24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RESORTE INYECCION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481,16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15.397,12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JUEGO DE REPARACION DEL CONECTOR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7.555,41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7.555,41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102,93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6.587,52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RESORTE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135,30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8.659,20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 ANILLO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14,97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8.622,72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MANGUITO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637,17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7.646,04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69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50,65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3.241,60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BANDA RELLENO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93,84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6.005,76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CONJ TAPA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133,57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4.274,24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EMPAQUETADURA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99,92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3.597,12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SEGURO RETENEDOR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13,14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3.363,84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SEGURO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12,90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3.302,40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SELLO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331,53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2.983,77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 SELLO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Jgo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1.691,56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1.691,56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77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ADAPTADOR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12.830,27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25.660,54</w:t>
                  </w:r>
                </w:p>
              </w:tc>
            </w:tr>
            <w:tr w:rsidR="00683D63" w:rsidRPr="00635C72" w:rsidTr="001D1EC4">
              <w:trPr>
                <w:trHeight w:val="359"/>
              </w:trPr>
              <w:tc>
                <w:tcPr>
                  <w:tcW w:w="724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TOTAL REFERENCIAL BS.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4.287.685,85</w:t>
                  </w:r>
                </w:p>
              </w:tc>
            </w:tr>
            <w:tr w:rsidR="00683D63" w:rsidRPr="00635C72" w:rsidTr="001D1EC4">
              <w:trPr>
                <w:trHeight w:val="300"/>
              </w:trPr>
              <w:tc>
                <w:tcPr>
                  <w:tcW w:w="889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LOTE Nº 2</w:t>
                  </w:r>
                </w:p>
              </w:tc>
            </w:tr>
            <w:tr w:rsidR="00683D63" w:rsidRPr="00635C72" w:rsidTr="001D1EC4">
              <w:trPr>
                <w:trHeight w:val="79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CONTROLADOR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DG-Version-A1-A4-A5-C2-D1- I1-N-Q1-T2-EF5-G5-H2-H12.8-J1-M12-M14.6- Y3-DG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68.994,00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551.952,00</w:t>
                  </w:r>
                </w:p>
              </w:tc>
            </w:tr>
            <w:tr w:rsidR="00683D63" w:rsidRPr="00635C72" w:rsidTr="001D1EC4">
              <w:trPr>
                <w:trHeight w:val="439"/>
              </w:trPr>
              <w:tc>
                <w:tcPr>
                  <w:tcW w:w="724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TOTAL REFERENCIAL BS.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551.952,00</w:t>
                  </w:r>
                </w:p>
              </w:tc>
            </w:tr>
            <w:tr w:rsidR="00683D63" w:rsidRPr="00635C72" w:rsidTr="001D1EC4">
              <w:trPr>
                <w:trHeight w:val="403"/>
              </w:trPr>
              <w:tc>
                <w:tcPr>
                  <w:tcW w:w="889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LOTE Nº 3</w:t>
                  </w:r>
                </w:p>
              </w:tc>
            </w:tr>
            <w:tr w:rsidR="00683D63" w:rsidRPr="00635C72" w:rsidTr="001D1EC4">
              <w:trPr>
                <w:trHeight w:val="2388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lastRenderedPageBreak/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MEDIDOR DE FLUJO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Rango de caudal: 1-40 LPM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Conexión a proceso : ½” NPT hembra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Precisión: ±0.5% de la lectura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Repetibilidad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: ±0.03% de la lectura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 xml:space="preserve">Viscosidad del fluido: mayor a 1000 </w:t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cPs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Material del cuerpo: Acero Inoxidable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Material de engranajes: Acero Inoxidable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Temperatura de operación: -20°C to +80°C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Material del sello: NBR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Maxima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 xml:space="preserve"> presión de proceso: 70 BAR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Grado de protección: IP65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Display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 xml:space="preserve">: LCD </w:t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reseteable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Alimentación externa: 5-28Vdc</w:t>
                  </w: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 xml:space="preserve">Salida: 4 a 20 </w:t>
                  </w:r>
                  <w:proofErr w:type="spellStart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mA</w:t>
                  </w:r>
                  <w:proofErr w:type="spellEnd"/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br/>
                    <w:t>Conexión eléctrica: ½” NP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Pza.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Verdana" w:hAnsi="Verdana"/>
                      <w:color w:val="000000"/>
                      <w:sz w:val="12"/>
                      <w:szCs w:val="12"/>
                      <w:lang w:eastAsia="es-ES"/>
                    </w:rPr>
                    <w:t>39.935,00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D63" w:rsidRPr="00635C72" w:rsidRDefault="00683D63" w:rsidP="001D1EC4">
                  <w:pPr>
                    <w:jc w:val="right"/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sz w:val="12"/>
                      <w:szCs w:val="12"/>
                      <w:lang w:eastAsia="es-ES"/>
                    </w:rPr>
                    <w:t>559.090,00</w:t>
                  </w:r>
                </w:p>
              </w:tc>
            </w:tr>
            <w:tr w:rsidR="00683D63" w:rsidRPr="00635C72" w:rsidTr="001D1EC4">
              <w:trPr>
                <w:trHeight w:val="600"/>
              </w:trPr>
              <w:tc>
                <w:tcPr>
                  <w:tcW w:w="724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83D63" w:rsidRPr="00635C72" w:rsidRDefault="00683D63" w:rsidP="001D1E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TOTAL REFERENCIAL BS.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83D63" w:rsidRPr="00635C72" w:rsidRDefault="00683D63" w:rsidP="001D1EC4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635C72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559.090,00</w:t>
                  </w:r>
                </w:p>
              </w:tc>
            </w:tr>
          </w:tbl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184" w:type="dxa"/>
            <w:gridSpan w:val="8"/>
            <w:tcBorders>
              <w:right w:val="single" w:sz="4" w:space="0" w:color="auto"/>
            </w:tcBorders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45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6" w:type="dxa"/>
            <w:gridSpan w:val="9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03" w:type="dxa"/>
            <w:gridSpan w:val="11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9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3" w:type="dxa"/>
            <w:gridSpan w:val="11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z w:val="16"/>
                <w:szCs w:val="16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</w:rPr>
              <w:t>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 la próxima gestión para b</w:t>
            </w:r>
            <w:r w:rsidRPr="000C6821">
              <w:rPr>
                <w:rFonts w:ascii="Arial" w:hAnsi="Arial" w:cs="Arial"/>
                <w:sz w:val="16"/>
                <w:szCs w:val="16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szCs w:val="16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szCs w:val="16"/>
              </w:rPr>
              <w:t>c</w:t>
            </w:r>
            <w:r w:rsidRPr="000C6821">
              <w:rPr>
                <w:rFonts w:ascii="Arial" w:hAnsi="Arial" w:cs="Arial"/>
                <w:sz w:val="14"/>
                <w:szCs w:val="16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Presupuesto de</w:t>
            </w:r>
            <w:r w:rsidRPr="000C6821">
              <w:rPr>
                <w:rFonts w:ascii="Arial" w:hAnsi="Arial" w:cs="Arial"/>
                <w:sz w:val="16"/>
                <w:szCs w:val="16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</w:rPr>
              <w:t xml:space="preserve">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33" w:type="dxa"/>
            <w:gridSpan w:val="20"/>
            <w:shd w:val="clear" w:color="auto" w:fill="auto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3" w:type="dxa"/>
            <w:gridSpan w:val="20"/>
            <w:vMerge w:val="restart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 w:val="restart"/>
            <w:tcBorders>
              <w:left w:val="nil"/>
            </w:tcBorders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trHeight w:val="60"/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20"/>
            <w:vMerge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/>
            <w:tcBorders>
              <w:left w:val="nil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83D63" w:rsidRPr="000C6821" w:rsidRDefault="00683D63" w:rsidP="00B31C13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281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Colombia, casi esquina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0655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15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4520317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left w:val="nil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angelica.zambrana@ende.bo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trHeight w:val="174"/>
          <w:jc w:val="center"/>
        </w:trPr>
        <w:tc>
          <w:tcPr>
            <w:tcW w:w="2215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A13669" w:rsidRDefault="00683D63" w:rsidP="001D1EC4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Default="00683D63" w:rsidP="001D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683D63" w:rsidRDefault="00683D63" w:rsidP="001D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683D63" w:rsidRDefault="00683D63" w:rsidP="001D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683D63" w:rsidRPr="000C6821" w:rsidRDefault="00683D63" w:rsidP="001D1EC4">
            <w:pPr>
              <w:tabs>
                <w:tab w:val="center" w:pos="1685"/>
                <w:tab w:val="right" w:pos="3370"/>
              </w:tabs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  <w:sz w:val="16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3D63" w:rsidRPr="000C6821" w:rsidTr="001D1EC4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83D63" w:rsidRPr="000C6821" w:rsidRDefault="00683D63" w:rsidP="00B31C13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D24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D24">
              <w:rPr>
                <w:rFonts w:ascii="Arial" w:hAnsi="Arial" w:cs="Arial"/>
                <w:sz w:val="16"/>
                <w:szCs w:val="16"/>
              </w:rPr>
              <w:t>Vargas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D24">
              <w:rPr>
                <w:rFonts w:ascii="Arial" w:hAnsi="Arial" w:cs="Arial"/>
                <w:sz w:val="16"/>
                <w:szCs w:val="16"/>
              </w:rPr>
              <w:t>Manuel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D24">
              <w:rPr>
                <w:rFonts w:ascii="Arial" w:hAnsi="Arial" w:cs="Arial"/>
                <w:sz w:val="16"/>
                <w:szCs w:val="16"/>
              </w:rPr>
              <w:t>Presidente Ejecutivo Interino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trHeight w:val="119"/>
          <w:jc w:val="center"/>
        </w:trPr>
        <w:tc>
          <w:tcPr>
            <w:tcW w:w="2779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683D63" w:rsidRPr="000C6821" w:rsidRDefault="00683D63" w:rsidP="001D1EC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3052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3052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Morales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Rainoff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Guillermo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Monduela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Angélica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211">
              <w:rPr>
                <w:rFonts w:ascii="Arial" w:hAnsi="Arial" w:cs="Arial"/>
                <w:sz w:val="16"/>
                <w:szCs w:val="14"/>
              </w:rPr>
              <w:t>Técnico Administrativo 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D63" w:rsidRPr="000C6821" w:rsidTr="001D1EC4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83D63" w:rsidRPr="000C6821" w:rsidRDefault="00683D63" w:rsidP="00B31C13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51A67">
              <w:rPr>
                <w:rFonts w:ascii="Arial" w:hAnsi="Arial" w:cs="Arial"/>
                <w:sz w:val="16"/>
                <w:szCs w:val="16"/>
              </w:rPr>
              <w:t>Arevey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Mejía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Ivan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F44">
              <w:rPr>
                <w:rFonts w:ascii="Arial" w:hAnsi="Arial" w:cs="Arial"/>
                <w:sz w:val="16"/>
                <w:szCs w:val="16"/>
              </w:rPr>
              <w:t>Sánchez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Guzmán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de Desarrollo Empresarial y Economía Interino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Udaeta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Eddson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Mirko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Gerencia Corporativa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D63" w:rsidRPr="000C6821" w:rsidTr="001D1EC4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83D63" w:rsidRPr="000C6821" w:rsidRDefault="00683D63" w:rsidP="001D1EC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83D63" w:rsidRPr="000C6821" w:rsidRDefault="00683D63" w:rsidP="001D1E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83D63" w:rsidRPr="000C6821" w:rsidRDefault="00683D63" w:rsidP="00683D63">
      <w:pPr>
        <w:rPr>
          <w:lang w:val="es-BO"/>
        </w:rPr>
      </w:pPr>
      <w:r w:rsidRPr="000C6821">
        <w:rPr>
          <w:lang w:val="es-BO"/>
        </w:rPr>
        <w:br w:type="page"/>
      </w:r>
    </w:p>
    <w:p w:rsidR="00683D63" w:rsidRPr="000C6821" w:rsidRDefault="00683D63" w:rsidP="00683D63">
      <w:pPr>
        <w:ind w:left="420"/>
        <w:rPr>
          <w:sz w:val="2"/>
          <w:szCs w:val="2"/>
          <w:lang w:val="es-BO"/>
        </w:rPr>
      </w:pPr>
    </w:p>
    <w:p w:rsidR="00683D63" w:rsidRPr="000C6821" w:rsidRDefault="00683D63" w:rsidP="00B31C13">
      <w:pPr>
        <w:pStyle w:val="Ttulo10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1" w:name="_Toc9472548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:rsidR="00683D63" w:rsidRPr="000C6821" w:rsidRDefault="00683D63" w:rsidP="00683D63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83D63" w:rsidRPr="000C6821" w:rsidTr="001D1EC4">
        <w:trPr>
          <w:jc w:val="center"/>
        </w:trPr>
        <w:tc>
          <w:tcPr>
            <w:tcW w:w="9060" w:type="dxa"/>
          </w:tcPr>
          <w:p w:rsidR="00683D63" w:rsidRPr="000C6821" w:rsidRDefault="00683D63" w:rsidP="001D1EC4">
            <w:pPr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 xml:space="preserve">(De acuerdo con lo establecido en el Artículo 47 de las NB-SABS, los siguientes plazos son de cumplimiento obligatorio:  </w:t>
            </w:r>
          </w:p>
          <w:p w:rsidR="00683D63" w:rsidRPr="000C6821" w:rsidRDefault="00683D63" w:rsidP="00B31C13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683D63" w:rsidRPr="000C6821" w:rsidRDefault="00683D63" w:rsidP="00B31C13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 xml:space="preserve">Presentación de documentos para la suscripción del </w:t>
            </w:r>
            <w:r>
              <w:rPr>
                <w:b/>
                <w:i/>
                <w:sz w:val="18"/>
              </w:rPr>
              <w:t>C</w:t>
            </w:r>
            <w:r w:rsidRPr="000C6821">
              <w:rPr>
                <w:b/>
                <w:i/>
                <w:sz w:val="18"/>
              </w:rPr>
              <w:t>ontrato (plazo de entrega de documentos, no menor a diez (10) días hábiles para proponentes nacionales y no menor a quince (15) días hábiles para proponentes extranjeros.);</w:t>
            </w:r>
          </w:p>
          <w:p w:rsidR="00683D63" w:rsidRPr="000C6821" w:rsidRDefault="00683D63" w:rsidP="00B31C13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683D63" w:rsidRPr="000C6821" w:rsidRDefault="00683D63" w:rsidP="001D1EC4">
            <w:pPr>
              <w:jc w:val="both"/>
              <w:rPr>
                <w:b/>
                <w:i/>
              </w:rPr>
            </w:pPr>
            <w:r w:rsidRPr="000C6821">
              <w:rPr>
                <w:b/>
                <w:i/>
                <w:sz w:val="18"/>
              </w:rPr>
              <w:t>El incumplimiento a los plazos señalados será considerado como inobservancia a la normativa)</w:t>
            </w:r>
          </w:p>
        </w:tc>
      </w:tr>
    </w:tbl>
    <w:p w:rsidR="00683D63" w:rsidRPr="000C6821" w:rsidRDefault="00683D63" w:rsidP="00683D63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683D63" w:rsidRPr="000C6821" w:rsidRDefault="00683D63" w:rsidP="00683D63">
      <w:pPr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El proceso de contratación </w:t>
      </w:r>
      <w:r>
        <w:rPr>
          <w:rFonts w:ascii="Verdana" w:hAnsi="Verdana" w:cs="Arial"/>
          <w:sz w:val="18"/>
          <w:szCs w:val="18"/>
          <w:lang w:val="es-BO"/>
        </w:rPr>
        <w:t xml:space="preserve">de bienes </w:t>
      </w:r>
      <w:r w:rsidRPr="000C6821">
        <w:rPr>
          <w:rFonts w:ascii="Verdana" w:hAnsi="Verdana" w:cs="Arial"/>
          <w:sz w:val="18"/>
          <w:szCs w:val="18"/>
          <w:lang w:val="es-BO"/>
        </w:rPr>
        <w:t>se sujetará al siguiente Cronograma de Plazos:</w:t>
      </w:r>
    </w:p>
    <w:p w:rsidR="00683D63" w:rsidRPr="000C6821" w:rsidRDefault="00683D63" w:rsidP="00683D63">
      <w:pPr>
        <w:ind w:left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473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296"/>
        <w:gridCol w:w="120"/>
        <w:gridCol w:w="292"/>
        <w:gridCol w:w="120"/>
        <w:gridCol w:w="120"/>
        <w:gridCol w:w="2303"/>
        <w:gridCol w:w="120"/>
      </w:tblGrid>
      <w:tr w:rsidR="00683D63" w:rsidRPr="000C6821" w:rsidTr="001D1EC4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683D63" w:rsidRPr="000C6821" w:rsidTr="001D1EC4">
        <w:trPr>
          <w:trHeight w:val="284"/>
        </w:trPr>
        <w:tc>
          <w:tcPr>
            <w:tcW w:w="212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9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1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683D63" w:rsidRPr="000C6821" w:rsidTr="001D1EC4">
        <w:trPr>
          <w:trHeight w:val="130"/>
        </w:trPr>
        <w:tc>
          <w:tcPr>
            <w:tcW w:w="27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6D05FF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D05FF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bookmarkStart w:id="2" w:name="_GoBack"/>
        <w:bookmarkEnd w:id="2"/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A571D8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val="es-BO"/>
              </w:rPr>
            </w:pPr>
            <w:r w:rsidRPr="00A571D8">
              <w:rPr>
                <w:rFonts w:ascii="Arial" w:hAnsi="Arial" w:cs="Arial"/>
                <w:sz w:val="12"/>
                <w:szCs w:val="12"/>
                <w:lang w:val="es-BO"/>
              </w:rPr>
              <w:t xml:space="preserve">En oficinas de ENDE de la calle Colombia esquina </w:t>
            </w:r>
            <w:proofErr w:type="spellStart"/>
            <w:r w:rsidRPr="00A571D8">
              <w:rPr>
                <w:rFonts w:ascii="Arial" w:hAnsi="Arial" w:cs="Arial"/>
                <w:sz w:val="12"/>
                <w:szCs w:val="12"/>
                <w:lang w:val="es-BO"/>
              </w:rPr>
              <w:t>Falsuri</w:t>
            </w:r>
            <w:proofErr w:type="spellEnd"/>
            <w:r w:rsidRPr="00A571D8">
              <w:rPr>
                <w:rFonts w:ascii="Arial" w:hAnsi="Arial" w:cs="Arial"/>
                <w:sz w:val="12"/>
                <w:szCs w:val="12"/>
                <w:lang w:val="es-BO"/>
              </w:rPr>
              <w:t xml:space="preserve"> N° 655 (Encargada de recepción de propuestas o al correo: angelica.zambrana@ende.bo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En oficinas de ENDE en la ciudad de Cochabamba, calle Colombia esquina </w:t>
            </w:r>
            <w:proofErr w:type="spellStart"/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>Falsuri</w:t>
            </w:r>
            <w:proofErr w:type="spellEnd"/>
            <w:r w:rsidRPr="009038B7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N° 655 (Sala de ENDE) mediante enlace: </w:t>
            </w:r>
            <w:hyperlink r:id="rId5" w:history="1">
              <w:r w:rsidRPr="009038B7">
                <w:rPr>
                  <w:rStyle w:val="Hipervnculo"/>
                  <w:rFonts w:ascii="Arial" w:hAnsi="Arial" w:cs="Arial"/>
                  <w:i/>
                  <w:sz w:val="12"/>
                  <w:szCs w:val="12"/>
                  <w:lang w:val="es-BO"/>
                </w:rPr>
                <w:t>https://ende.webex.com/ende.sala5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88697A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>Plataforma RUPE.</w:t>
            </w:r>
          </w:p>
          <w:p w:rsidR="00683D63" w:rsidRPr="0088697A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 (Lugar para la presentación de la garantía de seriedad de propuesta </w:t>
            </w:r>
          </w:p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Calle Colombia esquina </w:t>
            </w:r>
            <w:proofErr w:type="spellStart"/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>Falsuri</w:t>
            </w:r>
            <w:proofErr w:type="spellEnd"/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 N° 655 Encargada de recepción de Propuestas)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(**)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88697A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Calle Colombia esquina </w:t>
            </w:r>
            <w:proofErr w:type="spellStart"/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>Falsuri</w:t>
            </w:r>
            <w:proofErr w:type="spellEnd"/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 N° 655 (Sala de ENDE) o</w:t>
            </w:r>
          </w:p>
          <w:p w:rsidR="00683D63" w:rsidRPr="0088697A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 xml:space="preserve"> mediante el enlace: </w:t>
            </w:r>
          </w:p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697A">
              <w:rPr>
                <w:rFonts w:ascii="Arial" w:hAnsi="Arial" w:cs="Arial"/>
                <w:sz w:val="12"/>
                <w:szCs w:val="12"/>
                <w:lang w:val="es-BO"/>
              </w:rPr>
              <w:t>https://ende.webex.com/meet/ende.sala5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74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3D63" w:rsidRPr="000C6821" w:rsidTr="001D1EC4"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3D63" w:rsidRPr="000C6821" w:rsidRDefault="00683D63" w:rsidP="001D1EC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83D63" w:rsidRPr="000C6821" w:rsidRDefault="00683D63" w:rsidP="001D1EC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83D63" w:rsidRPr="0060646D" w:rsidRDefault="00683D63" w:rsidP="00683D63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775B51" w:rsidRDefault="00683D63" w:rsidP="00683D63"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(**) La determinación del plazo para la apertura de propuestas deberá considerar los </w:t>
      </w:r>
      <w:r>
        <w:rPr>
          <w:rFonts w:ascii="Verdana" w:hAnsi="Verdana" w:cs="Arial"/>
          <w:i/>
          <w:sz w:val="14"/>
          <w:szCs w:val="18"/>
          <w:lang w:val="es-BO"/>
        </w:rPr>
        <w:t>diez (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>10</w:t>
      </w:r>
      <w:r>
        <w:rPr>
          <w:rFonts w:ascii="Verdana" w:hAnsi="Verdana" w:cs="Arial"/>
          <w:i/>
          <w:sz w:val="14"/>
          <w:szCs w:val="18"/>
          <w:lang w:val="es-BO"/>
        </w:rPr>
        <w:t>)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 minutos que corresponden </w:t>
      </w:r>
      <w:r>
        <w:rPr>
          <w:rFonts w:ascii="Verdana" w:hAnsi="Verdana" w:cs="Arial"/>
          <w:i/>
          <w:sz w:val="14"/>
          <w:szCs w:val="18"/>
          <w:lang w:val="es-BO"/>
        </w:rPr>
        <w:t>al periodo de gracia aleatorio. E</w:t>
      </w:r>
      <w:r w:rsidRPr="001D75EE">
        <w:rPr>
          <w:rFonts w:ascii="Verdana" w:hAnsi="Verdana" w:cs="Arial"/>
          <w:i/>
          <w:sz w:val="14"/>
          <w:szCs w:val="18"/>
          <w:lang w:val="es-BO"/>
        </w:rPr>
        <w:t>n el marco del Artículo 27 del Reglamento de Contrataciones con Apoyo de Medios Electrónicos.</w:t>
      </w:r>
    </w:p>
    <w:sectPr w:rsidR="00775B51" w:rsidSect="00683D63">
      <w:pgSz w:w="11906" w:h="16838"/>
      <w:pgMar w:top="1134" w:right="1701" w:bottom="3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63"/>
    <w:rsid w:val="006347C3"/>
    <w:rsid w:val="0063631F"/>
    <w:rsid w:val="00683D63"/>
    <w:rsid w:val="00B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07C7-61FC-4DFA-A750-858EEC7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683D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683D63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683D6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683D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683D6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83D63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683D63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683D6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83D63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D63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683D63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683D63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683D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683D6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83D63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683D6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683D6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83D63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683D6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683D6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83D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83D6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83D63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link w:val="TtuloCar"/>
    <w:qFormat/>
    <w:rsid w:val="00683D6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683D6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83D6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83D6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83D6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83D6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683D6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683D6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683D6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683D6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683D6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3D6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683D63"/>
    <w:pPr>
      <w:ind w:left="720"/>
    </w:pPr>
  </w:style>
  <w:style w:type="character" w:styleId="Refdecomentario">
    <w:name w:val="annotation reference"/>
    <w:rsid w:val="00683D6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83D63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3D6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83D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D6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683D6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683D6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683D63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683D63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683D63"/>
    <w:rPr>
      <w:color w:val="808080"/>
    </w:rPr>
  </w:style>
  <w:style w:type="paragraph" w:customStyle="1" w:styleId="Sub-ClauseText">
    <w:name w:val="Sub-Clause Text"/>
    <w:basedOn w:val="Normal"/>
    <w:rsid w:val="00683D63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683D63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683D6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semiHidden/>
    <w:rsid w:val="00683D63"/>
    <w:rPr>
      <w:vertAlign w:val="superscript"/>
    </w:rPr>
  </w:style>
  <w:style w:type="table" w:styleId="Tablaconcuadrcula">
    <w:name w:val="Table Grid"/>
    <w:basedOn w:val="Tablanormal"/>
    <w:uiPriority w:val="39"/>
    <w:rsid w:val="00683D6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83D63"/>
    <w:pPr>
      <w:widowControl w:val="0"/>
      <w:jc w:val="both"/>
    </w:pPr>
    <w:rPr>
      <w:sz w:val="24"/>
    </w:rPr>
  </w:style>
  <w:style w:type="character" w:customStyle="1" w:styleId="CarCar11">
    <w:name w:val="Car Car11"/>
    <w:rsid w:val="00683D6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83D6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83D63"/>
  </w:style>
  <w:style w:type="character" w:customStyle="1" w:styleId="TtuloCar">
    <w:name w:val="Título Car"/>
    <w:link w:val="Ttulo10"/>
    <w:rsid w:val="00683D6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683D6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83D63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3D6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683D63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3D6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83D63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83D63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683D63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683D63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683D63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683D63"/>
    <w:pPr>
      <w:spacing w:after="120"/>
      <w:ind w:left="720"/>
    </w:pPr>
  </w:style>
  <w:style w:type="paragraph" w:customStyle="1" w:styleId="xl25">
    <w:name w:val="xl25"/>
    <w:basedOn w:val="Normal"/>
    <w:rsid w:val="00683D6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683D6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683D63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683D63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683D63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683D6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83D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683D63"/>
    <w:rPr>
      <w:rFonts w:ascii="Calibri" w:eastAsia="Times New Roman" w:hAnsi="Calibri" w:cs="Times New Roman"/>
    </w:rPr>
  </w:style>
  <w:style w:type="paragraph" w:styleId="Revisin">
    <w:name w:val="Revision"/>
    <w:hidden/>
    <w:uiPriority w:val="99"/>
    <w:semiHidden/>
    <w:rsid w:val="0068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3D63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3D6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683D63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683D6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683D63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683D63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683D6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683D6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customStyle="1" w:styleId="Tabladecuadrcula5oscura1">
    <w:name w:val="Tabla de cuadrícula 5 oscura1"/>
    <w:basedOn w:val="Tablanormal"/>
    <w:uiPriority w:val="50"/>
    <w:rsid w:val="00683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683D63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683D63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683D63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83D63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83D63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83D63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83D63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83D63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683D6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2023-09-06T22:32:00Z</dcterms:created>
  <dcterms:modified xsi:type="dcterms:W3CDTF">2023-09-06T22:32:00Z</dcterms:modified>
</cp:coreProperties>
</file>