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8E" w:rsidRPr="009956C4" w:rsidRDefault="00104D8E" w:rsidP="00104D8E">
      <w:pPr>
        <w:jc w:val="both"/>
        <w:rPr>
          <w:rFonts w:cs="Arial"/>
          <w:sz w:val="2"/>
          <w:szCs w:val="18"/>
          <w:lang w:val="es-BO"/>
        </w:rPr>
      </w:pPr>
      <w:bookmarkStart w:id="0" w:name="_Toc346871641"/>
      <w:bookmarkStart w:id="1" w:name="_Toc346873831"/>
    </w:p>
    <w:p w:rsidR="00104D8E" w:rsidRPr="009956C4" w:rsidRDefault="00104D8E" w:rsidP="00104D8E">
      <w:pPr>
        <w:jc w:val="both"/>
        <w:rPr>
          <w:rFonts w:cs="Arial"/>
          <w:sz w:val="2"/>
          <w:szCs w:val="18"/>
          <w:lang w:val="es-BO"/>
        </w:rPr>
      </w:pPr>
    </w:p>
    <w:p w:rsidR="00104D8E" w:rsidRDefault="00104D8E" w:rsidP="00104D8E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169772458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104D8E" w:rsidRPr="00104D8E" w:rsidRDefault="00104D8E" w:rsidP="00104D8E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104D8E" w:rsidRPr="009956C4" w:rsidTr="00090A46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04D8E" w:rsidRPr="009956C4" w:rsidRDefault="00104D8E" w:rsidP="00104D8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104D8E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DATOS DEL PROCESOS DE CONTRATACIÓN</w:t>
            </w:r>
          </w:p>
        </w:tc>
      </w:tr>
      <w:tr w:rsidR="00104D8E" w:rsidRPr="009956C4" w:rsidTr="00090A4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104D8E" w:rsidRPr="009956C4" w:rsidTr="00090A46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  <w:r w:rsidRPr="006B2A5B">
              <w:rPr>
                <w:rFonts w:ascii="Arial" w:hAnsi="Arial" w:cs="Arial"/>
                <w:sz w:val="18"/>
                <w:szCs w:val="18"/>
              </w:rPr>
              <w:t>EMPRESA NACIONAL DE ELECTRICIDAD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</w:tr>
      <w:tr w:rsidR="00104D8E" w:rsidRPr="009956C4" w:rsidTr="00090A46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</w:tr>
      <w:tr w:rsidR="00104D8E" w:rsidRPr="009956C4" w:rsidTr="00090A46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12"/>
              </w:rPr>
            </w:pPr>
            <w:r w:rsidRPr="00A533D5">
              <w:rPr>
                <w:rFonts w:ascii="Arial" w:hAnsi="Arial" w:cs="Arial"/>
                <w:sz w:val="14"/>
              </w:rPr>
              <w:t>ENDE-ANPE-</w:t>
            </w:r>
            <w:r>
              <w:rPr>
                <w:rFonts w:ascii="Arial" w:hAnsi="Arial" w:cs="Arial"/>
                <w:sz w:val="14"/>
              </w:rPr>
              <w:t>2025-017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</w:tr>
      <w:tr w:rsidR="00104D8E" w:rsidRPr="009956C4" w:rsidTr="00090A46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95"/>
        <w:gridCol w:w="295"/>
        <w:gridCol w:w="282"/>
        <w:gridCol w:w="295"/>
        <w:gridCol w:w="294"/>
        <w:gridCol w:w="294"/>
        <w:gridCol w:w="294"/>
        <w:gridCol w:w="276"/>
        <w:gridCol w:w="294"/>
        <w:gridCol w:w="294"/>
        <w:gridCol w:w="272"/>
        <w:gridCol w:w="269"/>
        <w:gridCol w:w="269"/>
        <w:gridCol w:w="269"/>
        <w:gridCol w:w="269"/>
        <w:gridCol w:w="269"/>
        <w:gridCol w:w="269"/>
        <w:gridCol w:w="269"/>
        <w:gridCol w:w="272"/>
        <w:gridCol w:w="294"/>
        <w:gridCol w:w="272"/>
        <w:gridCol w:w="294"/>
        <w:gridCol w:w="269"/>
        <w:gridCol w:w="811"/>
        <w:gridCol w:w="799"/>
        <w:gridCol w:w="269"/>
      </w:tblGrid>
      <w:tr w:rsidR="00104D8E" w:rsidRPr="009956C4" w:rsidTr="00090A46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310"/>
        <w:gridCol w:w="281"/>
        <w:gridCol w:w="282"/>
        <w:gridCol w:w="272"/>
        <w:gridCol w:w="277"/>
        <w:gridCol w:w="276"/>
        <w:gridCol w:w="303"/>
        <w:gridCol w:w="7"/>
        <w:gridCol w:w="267"/>
        <w:gridCol w:w="10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4"/>
        <w:gridCol w:w="274"/>
        <w:gridCol w:w="273"/>
        <w:gridCol w:w="274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69"/>
      </w:tblGrid>
      <w:tr w:rsidR="00104D8E" w:rsidRPr="009956C4" w:rsidTr="00090A46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trHeight w:val="227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tabs>
                <w:tab w:val="left" w:pos="1634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ADQUISICIÓN CABLE, CONECTORES Y FERRETERIA DE ACOMETIDAS SISTEMA SENA GESTIÓN 2025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trHeight w:val="20"/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7" w:type="dxa"/>
            <w:shd w:val="clear" w:color="auto" w:fill="FFFFFF" w:themeFill="background1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7" w:type="dxa"/>
            <w:gridSpan w:val="10"/>
            <w:tcBorders>
              <w:lef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104D8E" w:rsidRPr="009956C4" w:rsidTr="00090A46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10" w:type="dxa"/>
            <w:gridSpan w:val="2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104D8E" w:rsidRPr="009956C4" w:rsidTr="00090A46">
        <w:trPr>
          <w:trHeight w:val="20"/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52" w:type="dxa"/>
            <w:gridSpan w:val="10"/>
            <w:tcBorders>
              <w:lef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7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104D8E" w:rsidRPr="009956C4" w:rsidTr="00090A46">
        <w:trPr>
          <w:trHeight w:val="2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7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shd w:val="clear" w:color="auto" w:fill="FFFFFF" w:themeFill="background1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Default="00104D8E" w:rsidP="00090A46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  <w:p w:rsidR="00104D8E" w:rsidRDefault="00104D8E" w:rsidP="00090A46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tbl>
            <w:tblPr>
              <w:tblW w:w="0" w:type="auto"/>
              <w:tblInd w:w="7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4017"/>
              <w:gridCol w:w="856"/>
              <w:gridCol w:w="757"/>
              <w:gridCol w:w="957"/>
              <w:gridCol w:w="792"/>
            </w:tblGrid>
            <w:tr w:rsidR="00104D8E" w:rsidRPr="003A2E2C" w:rsidTr="00090A46">
              <w:trPr>
                <w:trHeight w:val="360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b/>
                      <w:bCs/>
                      <w:color w:val="000000"/>
                    </w:rPr>
                    <w:t>N°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CONCEPTO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b/>
                      <w:bCs/>
                      <w:color w:val="000000"/>
                    </w:rPr>
                    <w:t>CANT.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b/>
                      <w:bCs/>
                      <w:color w:val="000000"/>
                    </w:rPr>
                    <w:t>UNID.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b/>
                      <w:bCs/>
                      <w:color w:val="000000"/>
                    </w:rPr>
                    <w:t>P. UNIT.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b/>
                      <w:bCs/>
                      <w:color w:val="000000"/>
                    </w:rPr>
                    <w:t>TOTAL</w:t>
                  </w:r>
                </w:p>
              </w:tc>
            </w:tr>
            <w:tr w:rsidR="00104D8E" w:rsidRPr="003A2E2C" w:rsidTr="00090A46">
              <w:trPr>
                <w:trHeight w:val="408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 xml:space="preserve">CONECTOR  DENTADO AISLADO  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23,95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9.580,00</w:t>
                  </w:r>
                </w:p>
              </w:tc>
            </w:tr>
            <w:tr w:rsidR="00104D8E" w:rsidRPr="003A2E2C" w:rsidTr="00090A46">
              <w:trPr>
                <w:trHeight w:val="393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437B89" w:rsidRDefault="00104D8E" w:rsidP="00090A46">
                  <w:pPr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437B89">
                    <w:rPr>
                      <w:rFonts w:ascii="Calibri" w:hAnsi="Calibri" w:cs="Calibri"/>
                      <w:color w:val="000000"/>
                      <w:lang w:val="en-US"/>
                    </w:rPr>
                    <w:t>CABLE DUPLEX ACSR NRO. 6 AWG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5</w:t>
                  </w:r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  <w:r w:rsidRPr="003A2E2C">
                    <w:rPr>
                      <w:rFonts w:ascii="Calibri" w:hAnsi="Calibri" w:cs="Calibri"/>
                      <w:color w:val="000000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8,80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44.000,00</w:t>
                  </w:r>
                </w:p>
              </w:tc>
            </w:tr>
            <w:tr w:rsidR="00104D8E" w:rsidRPr="003A2E2C" w:rsidTr="00090A46">
              <w:trPr>
                <w:trHeight w:val="427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MALLA PREFORMADA FIN DE LINEA NRO</w:t>
                  </w:r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  <w:r w:rsidRPr="003A2E2C">
                    <w:rPr>
                      <w:rFonts w:ascii="Calibri" w:hAnsi="Calibri" w:cs="Calibri"/>
                      <w:color w:val="000000"/>
                    </w:rPr>
                    <w:t xml:space="preserve"> 6 AWG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8,90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7.120,00</w:t>
                  </w:r>
                </w:p>
              </w:tc>
            </w:tr>
            <w:tr w:rsidR="00104D8E" w:rsidRPr="003A2E2C" w:rsidTr="00090A46">
              <w:trPr>
                <w:trHeight w:val="547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 xml:space="preserve">CONECTOR PARALELO DE ALUMINIO 1 PERNO 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17,90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7.160,00</w:t>
                  </w:r>
                </w:p>
              </w:tc>
            </w:tr>
            <w:tr w:rsidR="00104D8E" w:rsidRPr="003A2E2C" w:rsidTr="00090A46">
              <w:trPr>
                <w:trHeight w:val="371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TUERCA DE OJO 5/8 "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Pza.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33,50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color w:val="000000"/>
                    </w:rPr>
                    <w:t>6.700,00</w:t>
                  </w:r>
                </w:p>
              </w:tc>
            </w:tr>
            <w:tr w:rsidR="00104D8E" w:rsidRPr="003A2E2C" w:rsidTr="00090A46">
              <w:trPr>
                <w:trHeight w:val="270"/>
              </w:trPr>
              <w:tc>
                <w:tcPr>
                  <w:tcW w:w="69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PRECIO REFERENCIAL Bs.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04D8E" w:rsidRPr="003A2E2C" w:rsidRDefault="00104D8E" w:rsidP="00090A4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3A2E2C">
                    <w:rPr>
                      <w:rFonts w:ascii="Calibri" w:hAnsi="Calibri" w:cs="Calibri"/>
                      <w:b/>
                      <w:bCs/>
                      <w:color w:val="000000"/>
                    </w:rPr>
                    <w:t>74.560,00</w:t>
                  </w:r>
                </w:p>
              </w:tc>
            </w:tr>
          </w:tbl>
          <w:p w:rsidR="00104D8E" w:rsidRDefault="00104D8E" w:rsidP="00090A46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:rsidR="00104D8E" w:rsidRPr="009956C4" w:rsidRDefault="00104D8E" w:rsidP="00090A46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trHeight w:val="240"/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95" w:type="dxa"/>
            <w:gridSpan w:val="17"/>
            <w:tcBorders>
              <w:left w:val="single" w:sz="4" w:space="0" w:color="auto"/>
            </w:tcBorders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2E45E9" w:rsidRDefault="00104D8E" w:rsidP="00090A46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104D8E" w:rsidRPr="003A2E2C" w:rsidRDefault="00104D8E" w:rsidP="00090A46">
            <w:pPr>
              <w:ind w:right="113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 w:rsidRPr="003A2E2C">
              <w:rPr>
                <w:rFonts w:ascii="Tahoma" w:hAnsi="Tahoma" w:cs="Tahoma"/>
                <w:bCs/>
                <w:sz w:val="14"/>
                <w:szCs w:val="14"/>
              </w:rPr>
              <w:t>El plazo de entrega establecido para el presente proceso no debe exceder los (30) treinta días calendario computable a partir del día siguiente hábil de la firma de contrato. Pudiendo ofertar plazos menores de entrega.</w:t>
            </w:r>
          </w:p>
          <w:p w:rsidR="00104D8E" w:rsidRPr="009956C4" w:rsidRDefault="00104D8E" w:rsidP="00090A46">
            <w:pPr>
              <w:ind w:right="113"/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nil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1771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830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427481" w:rsidRDefault="00104D8E" w:rsidP="00090A46">
            <w:pPr>
              <w:ind w:right="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427481">
              <w:rPr>
                <w:rFonts w:ascii="Arial" w:hAnsi="Arial" w:cs="Arial"/>
                <w:bCs/>
                <w:sz w:val="14"/>
                <w:szCs w:val="14"/>
              </w:rPr>
              <w:t>Para la suscripción de contrato de acuerdo con lo establecido en el Parágrafo II del Artículo 20 de las NB-SABS, el proponente decidirá el tipo de garantía a presentar entre ellos:</w:t>
            </w:r>
          </w:p>
          <w:p w:rsidR="00104D8E" w:rsidRPr="00427481" w:rsidRDefault="00104D8E" w:rsidP="00090A46">
            <w:pPr>
              <w:ind w:right="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04D8E" w:rsidRPr="00427481" w:rsidRDefault="00104D8E" w:rsidP="00090A46">
            <w:pPr>
              <w:ind w:right="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427481">
              <w:rPr>
                <w:rFonts w:ascii="Arial" w:hAnsi="Arial" w:cs="Arial"/>
                <w:bCs/>
                <w:sz w:val="14"/>
                <w:szCs w:val="14"/>
              </w:rPr>
              <w:t>Boleta de Garantía, Garantía a Primer Requerimiento o Póliza de Seguro de Caución a Primer Requerimiento; todos con la característica de renovable, irrevocable y de ejecución inmediata, con el objeto garantizar la conclusión y entrega del objeto de contrato.</w:t>
            </w:r>
          </w:p>
          <w:p w:rsidR="00104D8E" w:rsidRPr="00427481" w:rsidRDefault="00104D8E" w:rsidP="00090A46">
            <w:pPr>
              <w:ind w:right="113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04D8E" w:rsidRPr="00427481" w:rsidRDefault="00104D8E" w:rsidP="00090A4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427481">
              <w:rPr>
                <w:rFonts w:ascii="Arial" w:hAnsi="Arial" w:cs="Arial"/>
                <w:bCs/>
                <w:sz w:val="14"/>
                <w:szCs w:val="14"/>
              </w:rPr>
              <w:t xml:space="preserve">El proponente adjudicado deberá constituir una </w:t>
            </w:r>
            <w:r w:rsidRPr="00427481">
              <w:rPr>
                <w:rFonts w:ascii="Arial" w:hAnsi="Arial" w:cs="Arial"/>
                <w:b/>
                <w:bCs/>
                <w:sz w:val="14"/>
                <w:szCs w:val="14"/>
              </w:rPr>
              <w:t>Garantía de Cumplimiento de Contrato</w:t>
            </w:r>
            <w:r w:rsidRPr="00427481">
              <w:rPr>
                <w:rFonts w:ascii="Arial" w:hAnsi="Arial" w:cs="Arial"/>
                <w:bCs/>
                <w:sz w:val="14"/>
                <w:szCs w:val="14"/>
              </w:rPr>
              <w:t xml:space="preserve"> equivalente al </w:t>
            </w:r>
            <w:r w:rsidRPr="00427481">
              <w:rPr>
                <w:rFonts w:ascii="Arial" w:hAnsi="Arial" w:cs="Arial"/>
                <w:b/>
                <w:bCs/>
                <w:sz w:val="14"/>
                <w:szCs w:val="14"/>
              </w:rPr>
              <w:t>7% o 3,5%</w:t>
            </w:r>
            <w:r w:rsidRPr="00427481">
              <w:rPr>
                <w:rFonts w:ascii="Arial" w:hAnsi="Arial" w:cs="Arial"/>
                <w:bCs/>
                <w:sz w:val="14"/>
                <w:szCs w:val="14"/>
              </w:rPr>
              <w:t xml:space="preserve"> (según corresponda) del monto del contrato,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con una vigencia </w:t>
            </w:r>
            <w:r w:rsidRPr="00427481">
              <w:rPr>
                <w:rFonts w:ascii="Arial" w:hAnsi="Arial" w:cs="Arial"/>
                <w:bCs/>
                <w:sz w:val="14"/>
                <w:szCs w:val="14"/>
              </w:rPr>
              <w:t>hasta la recepción definitiva del bien.</w:t>
            </w:r>
          </w:p>
          <w:p w:rsidR="00104D8E" w:rsidRPr="009956C4" w:rsidRDefault="00104D8E" w:rsidP="00090A46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1771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30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1771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104D8E" w:rsidRPr="009956C4" w:rsidTr="00090A4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104D8E" w:rsidRPr="00156685" w:rsidRDefault="00104D8E" w:rsidP="00090A46">
            <w:pPr>
              <w:rPr>
                <w:rFonts w:ascii="Arial" w:hAnsi="Arial" w:cs="Arial"/>
                <w:sz w:val="14"/>
                <w:szCs w:val="14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</w:rPr>
              <w:t>C</w:t>
            </w:r>
            <w:r w:rsidRPr="009956C4">
              <w:rPr>
                <w:rFonts w:ascii="Arial" w:hAnsi="Arial" w:cs="Arial"/>
                <w:sz w:val="12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jc w:val="both"/>
              <w:rPr>
                <w:rFonts w:ascii="Arial" w:hAnsi="Arial" w:cs="Arial"/>
                <w:sz w:val="14"/>
              </w:rPr>
            </w:pPr>
            <w:r w:rsidRPr="00156685">
              <w:rPr>
                <w:rFonts w:ascii="Arial" w:hAnsi="Arial" w:cs="Arial"/>
                <w:sz w:val="14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104D8E" w:rsidRPr="009956C4" w:rsidTr="00090A46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104D8E" w:rsidRPr="009956C4" w:rsidRDefault="00104D8E" w:rsidP="00090A4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38" w:type="dxa"/>
            <w:gridSpan w:val="20"/>
            <w:vMerge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vMerge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4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04D8E" w:rsidRPr="009956C4" w:rsidTr="00090A46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04D8E" w:rsidRPr="009956C4" w:rsidRDefault="00104D8E" w:rsidP="00104D8E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104D8E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INFORMACIÓN DEL DOCUMENTO BASE DE CONTRATACIÓN (DBC</w:t>
            </w:r>
            <w:r w:rsidRPr="00104D8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). </w:t>
            </w:r>
            <w:r w:rsidRPr="00104D8E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104D8E" w:rsidRPr="009956C4" w:rsidTr="00090A4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4D8E" w:rsidRPr="00104D8E" w:rsidTr="00090A4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</w:rPr>
            </w:pPr>
            <w:r w:rsidRPr="00E2259C">
              <w:rPr>
                <w:rFonts w:ascii="Arial" w:hAnsi="Arial" w:cs="Arial"/>
              </w:rPr>
              <w:t>CALLE COLOMBIA Nº 655 -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A3ADE" w:rsidRDefault="00104D8E" w:rsidP="00090A46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08:30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 xml:space="preserve"> a.m. a 12:30 p.m.</w:t>
            </w:r>
          </w:p>
          <w:p w:rsidR="00104D8E" w:rsidRPr="009A3ADE" w:rsidRDefault="00104D8E" w:rsidP="00090A4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13:30 p.m. a 16:3</w:t>
            </w:r>
            <w:r w:rsidRPr="009A3ADE">
              <w:rPr>
                <w:rFonts w:ascii="Arial" w:hAnsi="Arial" w:cs="Arial"/>
                <w:sz w:val="13"/>
                <w:szCs w:val="13"/>
                <w:lang w:val="en-US"/>
              </w:rPr>
              <w:t>0 p.m.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A3ADE" w:rsidRDefault="00104D8E" w:rsidP="00090A46">
            <w:pPr>
              <w:rPr>
                <w:rFonts w:ascii="Arial" w:hAnsi="Arial" w:cs="Arial"/>
                <w:lang w:val="en-US"/>
              </w:rPr>
            </w:pPr>
          </w:p>
        </w:tc>
      </w:tr>
      <w:tr w:rsidR="00104D8E" w:rsidRPr="00104D8E" w:rsidTr="00090A4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04D8E" w:rsidRPr="009A3ADE" w:rsidRDefault="00104D8E" w:rsidP="00090A4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2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2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6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81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04D8E" w:rsidRPr="009A3ADE" w:rsidRDefault="00104D8E" w:rsidP="00090A46">
            <w:pPr>
              <w:rPr>
                <w:rFonts w:ascii="Arial" w:hAnsi="Arial" w:cs="Arial"/>
                <w:sz w:val="8"/>
                <w:szCs w:val="2"/>
                <w:lang w:val="en-US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104D8E" w:rsidRPr="009A3ADE" w:rsidRDefault="00104D8E" w:rsidP="00090A4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n-US"/>
              </w:rPr>
            </w:pPr>
          </w:p>
        </w:tc>
        <w:tc>
          <w:tcPr>
            <w:tcW w:w="283" w:type="dxa"/>
          </w:tcPr>
          <w:p w:rsidR="00104D8E" w:rsidRPr="009A3ADE" w:rsidRDefault="00104D8E" w:rsidP="00090A46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1" w:type="dxa"/>
          </w:tcPr>
          <w:p w:rsidR="00104D8E" w:rsidRPr="009A3ADE" w:rsidRDefault="00104D8E" w:rsidP="00090A46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82" w:type="dxa"/>
          </w:tcPr>
          <w:p w:rsidR="00104D8E" w:rsidRPr="009A3ADE" w:rsidRDefault="00104D8E" w:rsidP="00090A46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272" w:type="dxa"/>
          </w:tcPr>
          <w:p w:rsidR="00104D8E" w:rsidRPr="009A3ADE" w:rsidRDefault="00104D8E" w:rsidP="00090A46">
            <w:pPr>
              <w:rPr>
                <w:rFonts w:ascii="Arial" w:hAnsi="Arial" w:cs="Arial"/>
                <w:sz w:val="10"/>
                <w:szCs w:val="8"/>
                <w:lang w:val="en-U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Angélica Zambrana 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Administrativo 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UADM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4520317-Int. 1278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4520318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</w:rPr>
            </w:pPr>
            <w:hyperlink r:id="rId5" w:history="1">
              <w:r w:rsidRPr="00C67DB1">
                <w:rPr>
                  <w:rStyle w:val="Hipervnculo"/>
                  <w:rFonts w:ascii="Arial" w:hAnsi="Arial" w:cs="Arial"/>
                </w:rPr>
                <w:t>angelica.zambrana@ende.bo</w:t>
              </w:r>
            </w:hyperlink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104D8E" w:rsidRPr="009956C4" w:rsidRDefault="00104D8E" w:rsidP="00090A46">
            <w:pPr>
              <w:rPr>
                <w:rFonts w:ascii="Arial" w:hAnsi="Arial" w:cs="Arial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4D8E" w:rsidRPr="009956C4" w:rsidTr="00090A46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8E" w:rsidRPr="00402294" w:rsidRDefault="00104D8E" w:rsidP="00090A4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jc w:val="center"/>
              <w:rPr>
                <w:rFonts w:ascii="Arial" w:hAnsi="Arial" w:cs="Arial"/>
                <w:sz w:val="8"/>
                <w:szCs w:val="2"/>
              </w:rPr>
            </w:pPr>
            <w:r w:rsidRPr="00E2259C"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4D8E" w:rsidRPr="009956C4" w:rsidTr="00090A46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4D8E" w:rsidRPr="009956C4" w:rsidTr="00090A46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04D8E" w:rsidRPr="009956C4" w:rsidRDefault="00104D8E" w:rsidP="00090A4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104D8E" w:rsidRDefault="00104D8E" w:rsidP="00104D8E">
      <w:pPr>
        <w:jc w:val="center"/>
        <w:rPr>
          <w:rFonts w:cs="Arial"/>
          <w:b/>
          <w:sz w:val="18"/>
          <w:szCs w:val="18"/>
          <w:lang w:val="es-BO"/>
        </w:rPr>
      </w:pPr>
    </w:p>
    <w:p w:rsidR="00104D8E" w:rsidRDefault="00104D8E" w:rsidP="00104D8E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169772459"/>
      <w:bookmarkEnd w:id="0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3"/>
    </w:p>
    <w:p w:rsidR="00104D8E" w:rsidRPr="00104D8E" w:rsidRDefault="00104D8E" w:rsidP="00104D8E">
      <w:pPr>
        <w:rPr>
          <w:lang w:val="es-BO"/>
        </w:rPr>
      </w:pPr>
    </w:p>
    <w:tbl>
      <w:tblPr>
        <w:tblW w:w="10207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104D8E" w:rsidRPr="009956C4" w:rsidTr="00104D8E">
        <w:trPr>
          <w:trHeight w:val="251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D8E" w:rsidRPr="009956C4" w:rsidRDefault="00104D8E" w:rsidP="00090A4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104D8E" w:rsidRPr="009956C4" w:rsidRDefault="00104D8E" w:rsidP="00104D8E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104D8E" w:rsidRPr="009956C4" w:rsidRDefault="00104D8E" w:rsidP="00104D8E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104D8E" w:rsidRPr="009956C4" w:rsidRDefault="00104D8E" w:rsidP="00104D8E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104D8E" w:rsidRPr="009956C4" w:rsidRDefault="00104D8E" w:rsidP="00090A4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104D8E" w:rsidRPr="009956C4" w:rsidRDefault="00104D8E" w:rsidP="00104D8E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104D8E" w:rsidRPr="009956C4" w:rsidRDefault="00104D8E" w:rsidP="00104D8E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104D8E" w:rsidRPr="009956C4" w:rsidRDefault="00104D8E" w:rsidP="00090A46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104D8E" w:rsidRDefault="00104D8E" w:rsidP="00104D8E">
      <w:pPr>
        <w:rPr>
          <w:rFonts w:ascii="Arial" w:hAnsi="Arial" w:cs="Arial"/>
        </w:rPr>
      </w:pPr>
    </w:p>
    <w:p w:rsidR="00104D8E" w:rsidRDefault="00104D8E" w:rsidP="00104D8E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104D8E" w:rsidRPr="009956C4" w:rsidRDefault="00104D8E" w:rsidP="00104D8E">
      <w:pPr>
        <w:ind w:firstLine="709"/>
        <w:rPr>
          <w:rFonts w:cs="Arial"/>
          <w:sz w:val="18"/>
          <w:szCs w:val="18"/>
          <w:lang w:val="es-BO"/>
        </w:rPr>
      </w:pPr>
    </w:p>
    <w:p w:rsidR="00104D8E" w:rsidRPr="009956C4" w:rsidRDefault="00104D8E" w:rsidP="00104D8E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6"/>
        <w:gridCol w:w="455"/>
        <w:gridCol w:w="135"/>
        <w:gridCol w:w="141"/>
        <w:gridCol w:w="2246"/>
        <w:gridCol w:w="142"/>
      </w:tblGrid>
      <w:tr w:rsidR="00104D8E" w:rsidRPr="009956C4" w:rsidTr="00104D8E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104D8E" w:rsidRPr="009956C4" w:rsidTr="00104D8E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4D8E" w:rsidRPr="009956C4" w:rsidTr="00104D8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4D8E" w:rsidRPr="009956C4" w:rsidTr="00104D8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4D8E" w:rsidRPr="009956C4" w:rsidTr="00104D8E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4D8E" w:rsidRPr="009956C4" w:rsidTr="00104D8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4D8E" w:rsidRPr="009956C4" w:rsidTr="00104D8E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4D8E" w:rsidRPr="009956C4" w:rsidTr="00104D8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4D8E" w:rsidRPr="009956C4" w:rsidTr="00104D8E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2D2933"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4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4D8E" w:rsidRPr="009956C4" w:rsidTr="00104D8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4D8E" w:rsidRPr="009956C4" w:rsidTr="00104D8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3942ED">
              <w:rPr>
                <w:rFonts w:ascii="Arial" w:hAnsi="Arial" w:cs="Arial"/>
                <w:sz w:val="14"/>
                <w:lang w:val="es-BO"/>
              </w:rPr>
              <w:t>Plataforma RUPE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4D8E" w:rsidRPr="009956C4" w:rsidTr="00104D8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04D8E" w:rsidRPr="009956C4" w:rsidTr="00104D8E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04D8E" w:rsidRPr="009956C4" w:rsidTr="00104D8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4D8E" w:rsidRPr="009956C4" w:rsidTr="00104D8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4D8E" w:rsidRPr="009956C4" w:rsidTr="00104D8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04D8E" w:rsidRPr="009956C4" w:rsidTr="00104D8E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Nº 0655 (Sala de ende) o mediante el enlace: https://ende.webex.com/meet/ende.sala5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04D8E" w:rsidRPr="009956C4" w:rsidTr="00104D8E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104D8E" w:rsidRPr="009956C4" w:rsidTr="00104D8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104D8E" w:rsidRPr="009956C4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4D8E" w:rsidRPr="009956C4" w:rsidTr="00104D8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4D8E" w:rsidRPr="009956C4" w:rsidTr="00104D8E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104D8E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104D8E" w:rsidRPr="009956C4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D8E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104D8E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D8E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04D8E" w:rsidRPr="009956C4" w:rsidTr="00104D8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4D8E" w:rsidRPr="009956C4" w:rsidTr="00104D8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4D8E" w:rsidRPr="009956C4" w:rsidTr="00104D8E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4D8E" w:rsidRPr="009956C4" w:rsidTr="00104D8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4D8E" w:rsidRPr="009956C4" w:rsidTr="00104D8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4D8E" w:rsidRPr="009956C4" w:rsidTr="00104D8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9956C4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9956C4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4D8E" w:rsidRPr="00A244D6" w:rsidTr="00104D8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4D8E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104D8E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104D8E" w:rsidRPr="00A244D6" w:rsidRDefault="00104D8E" w:rsidP="00090A4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  <w:p w:rsidR="00104D8E" w:rsidRPr="00A244D6" w:rsidRDefault="00104D8E" w:rsidP="00090A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104D8E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104D8E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104D8E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bookmarkStart w:id="6" w:name="_GoBack"/>
            <w:bookmarkEnd w:id="6"/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04D8E" w:rsidRPr="00A244D6" w:rsidTr="00104D8E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04D8E" w:rsidRPr="00A244D6" w:rsidRDefault="00104D8E" w:rsidP="00090A46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04D8E" w:rsidRPr="00A244D6" w:rsidRDefault="00104D8E" w:rsidP="00090A4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104D8E" w:rsidRPr="00A244D6" w:rsidTr="00104D8E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04D8E" w:rsidRPr="00A244D6" w:rsidRDefault="00104D8E" w:rsidP="00090A46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04D8E" w:rsidRPr="00A244D6" w:rsidRDefault="00104D8E" w:rsidP="00090A46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04D8E" w:rsidRPr="00A244D6" w:rsidRDefault="00104D8E" w:rsidP="00090A4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04D8E" w:rsidRPr="00A244D6" w:rsidRDefault="00104D8E" w:rsidP="00090A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104D8E" w:rsidRDefault="00104D8E" w:rsidP="00104D8E">
      <w:pPr>
        <w:rPr>
          <w:rFonts w:cs="Arial"/>
          <w:i/>
          <w:sz w:val="14"/>
          <w:szCs w:val="18"/>
          <w:lang w:val="es-BO"/>
        </w:rPr>
      </w:pPr>
    </w:p>
    <w:p w:rsidR="00104D8E" w:rsidRPr="00A244D6" w:rsidRDefault="00104D8E" w:rsidP="00104D8E">
      <w:pPr>
        <w:ind w:left="-709" w:right="-852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104D8E" w:rsidRPr="0077744B" w:rsidRDefault="00104D8E" w:rsidP="00104D8E">
      <w:pPr>
        <w:ind w:left="-709" w:right="-852"/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F03AC5" w:rsidRPr="00104D8E" w:rsidRDefault="00F03AC5">
      <w:pPr>
        <w:rPr>
          <w:lang w:val="es-BO"/>
        </w:rPr>
      </w:pPr>
    </w:p>
    <w:sectPr w:rsidR="00F03AC5" w:rsidRPr="00104D8E" w:rsidSect="00104D8E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8E"/>
    <w:rsid w:val="00104D8E"/>
    <w:rsid w:val="00F0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CAA5"/>
  <w15:chartTrackingRefBased/>
  <w15:docId w15:val="{0B2C6769-FCAD-46FF-A95D-C5C84A2A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D8E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04D8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104D8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104D8E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104D8E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104D8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104D8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104D8E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104D8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104D8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4D8E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04D8E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04D8E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04D8E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uiPriority w:val="9"/>
    <w:rsid w:val="00104D8E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104D8E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uiPriority w:val="9"/>
    <w:rsid w:val="00104D8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104D8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104D8E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104D8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104D8E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uiPriority w:val="99"/>
    <w:rsid w:val="00104D8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04D8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104D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4D8E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104D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D8E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99"/>
    <w:rsid w:val="00104D8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,Car Car"/>
    <w:basedOn w:val="Fuentedeprrafopredeter"/>
    <w:link w:val="Textoindependiente"/>
    <w:uiPriority w:val="99"/>
    <w:rsid w:val="00104D8E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104D8E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104D8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04D8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04D8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104D8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104D8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04D8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104D8E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04D8E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104D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04D8E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59"/>
    <w:rsid w:val="0010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104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rsid w:val="00104D8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04D8E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04D8E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104D8E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04D8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04D8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104D8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04D8E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ar1"/>
    <w:uiPriority w:val="10"/>
    <w:qFormat/>
    <w:rsid w:val="00104D8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104D8E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Car1">
    <w:name w:val="Título Car1"/>
    <w:basedOn w:val="Fuentedeprrafopredeter"/>
    <w:link w:val="Ttulo"/>
    <w:uiPriority w:val="10"/>
    <w:rsid w:val="00104D8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uiPriority w:val="99"/>
    <w:rsid w:val="00104D8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uiPriority w:val="99"/>
    <w:rsid w:val="00104D8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04D8E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rsid w:val="00104D8E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04D8E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uiPriority w:val="99"/>
    <w:rsid w:val="00104D8E"/>
    <w:rPr>
      <w:vertAlign w:val="superscript"/>
    </w:rPr>
  </w:style>
  <w:style w:type="paragraph" w:customStyle="1" w:styleId="BodyText21">
    <w:name w:val="Body Text 21"/>
    <w:basedOn w:val="Normal"/>
    <w:rsid w:val="00104D8E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04D8E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04D8E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uiPriority w:val="99"/>
    <w:rsid w:val="00104D8E"/>
  </w:style>
  <w:style w:type="paragraph" w:customStyle="1" w:styleId="Document1">
    <w:name w:val="Document 1"/>
    <w:rsid w:val="00104D8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104D8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04D8E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104D8E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04D8E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uiPriority w:val="99"/>
    <w:rsid w:val="00104D8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04D8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104D8E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104D8E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104D8E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104D8E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04D8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04D8E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04D8E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04D8E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104D8E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0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104D8E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04D8E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104D8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04D8E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104D8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104D8E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04D8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04D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104D8E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104D8E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104D8E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04D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qFormat/>
    <w:locked/>
    <w:rsid w:val="00104D8E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04D8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04D8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104D8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104D8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04D8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04D8E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104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04D8E"/>
    <w:rPr>
      <w:rFonts w:ascii="Courier New" w:eastAsiaTheme="minorEastAsia" w:hAnsi="Courier New" w:cs="Courier New"/>
      <w:sz w:val="20"/>
      <w:szCs w:val="20"/>
      <w:lang w:eastAsia="es-ES"/>
    </w:rPr>
  </w:style>
  <w:style w:type="character" w:customStyle="1" w:styleId="y2iqfc">
    <w:name w:val="y2iqfc"/>
    <w:rsid w:val="00104D8E"/>
  </w:style>
  <w:style w:type="table" w:styleId="Tabladecuadrcula5oscura">
    <w:name w:val="Grid Table 5 Dark"/>
    <w:basedOn w:val="Tablanormal"/>
    <w:uiPriority w:val="50"/>
    <w:rsid w:val="00104D8E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104D8E"/>
    <w:pPr>
      <w:ind w:left="4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104D8E"/>
    <w:pPr>
      <w:ind w:left="6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104D8E"/>
    <w:pPr>
      <w:ind w:left="8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104D8E"/>
    <w:pPr>
      <w:ind w:left="10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104D8E"/>
    <w:pPr>
      <w:ind w:left="1200"/>
    </w:pPr>
    <w:rPr>
      <w:rFonts w:asciiTheme="minorHAnsi" w:eastAsiaTheme="minorEastAsia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104D8E"/>
    <w:pPr>
      <w:ind w:left="1400"/>
    </w:pPr>
    <w:rPr>
      <w:rFonts w:asciiTheme="minorHAnsi" w:eastAsiaTheme="minorEastAsia" w:hAnsiTheme="minorHAnsi"/>
      <w:sz w:val="20"/>
      <w:szCs w:val="20"/>
      <w:lang w:eastAsia="en-US"/>
    </w:rPr>
  </w:style>
  <w:style w:type="table" w:customStyle="1" w:styleId="Tabladecuadrcula5oscura1">
    <w:name w:val="Tabla de cuadrícula 5 oscura1"/>
    <w:basedOn w:val="Tablanormal"/>
    <w:uiPriority w:val="50"/>
    <w:rsid w:val="00104D8E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Tabladecuadrcula5oscura11">
    <w:name w:val="Tabla de cuadrícula 5 oscura11"/>
    <w:basedOn w:val="Tablanormal"/>
    <w:uiPriority w:val="50"/>
    <w:rsid w:val="00104D8E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ica.zambrana@ende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1164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Zambrana Monduela</dc:creator>
  <cp:keywords/>
  <dc:description/>
  <cp:lastModifiedBy>Angelica Zambrana Monduela</cp:lastModifiedBy>
  <cp:revision>1</cp:revision>
  <dcterms:created xsi:type="dcterms:W3CDTF">2025-05-12T17:50:00Z</dcterms:created>
  <dcterms:modified xsi:type="dcterms:W3CDTF">2025-05-12T17:53:00Z</dcterms:modified>
</cp:coreProperties>
</file>