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59" w:rsidRPr="009956C4" w:rsidRDefault="00847C59" w:rsidP="00847C59">
      <w:pPr>
        <w:jc w:val="both"/>
        <w:rPr>
          <w:rFonts w:cs="Arial"/>
          <w:sz w:val="2"/>
          <w:szCs w:val="18"/>
          <w:lang w:val="es-BO"/>
        </w:rPr>
      </w:pPr>
      <w:bookmarkStart w:id="0" w:name="_Toc346871641"/>
      <w:bookmarkStart w:id="1" w:name="_Toc346873831"/>
      <w:bookmarkStart w:id="2" w:name="_GoBack"/>
      <w:bookmarkEnd w:id="2"/>
    </w:p>
    <w:p w:rsidR="00847C59" w:rsidRDefault="00847C59" w:rsidP="00847C5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8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3"/>
    </w:p>
    <w:p w:rsidR="00847C59" w:rsidRPr="00847C59" w:rsidRDefault="00847C59" w:rsidP="00847C59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47C59" w:rsidRPr="009956C4" w:rsidTr="00762A83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47C59" w:rsidRPr="009956C4" w:rsidRDefault="00847C59" w:rsidP="00762A83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752461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847C59" w:rsidRPr="009956C4" w:rsidTr="00762A8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847C59" w:rsidRPr="009956C4" w:rsidTr="00762A8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</w:tr>
      <w:tr w:rsidR="00847C59" w:rsidRPr="009956C4" w:rsidTr="00762A83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</w:tr>
      <w:tr w:rsidR="00847C59" w:rsidRPr="009956C4" w:rsidTr="00762A8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</w:t>
            </w:r>
            <w:r>
              <w:rPr>
                <w:rFonts w:ascii="Arial" w:hAnsi="Arial" w:cs="Arial"/>
                <w:sz w:val="14"/>
              </w:rPr>
              <w:t>040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</w:tr>
      <w:tr w:rsidR="00847C59" w:rsidRPr="009956C4" w:rsidTr="00762A83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847C59" w:rsidRPr="009956C4" w:rsidTr="00762A83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311"/>
        <w:gridCol w:w="282"/>
        <w:gridCol w:w="282"/>
        <w:gridCol w:w="273"/>
        <w:gridCol w:w="277"/>
        <w:gridCol w:w="276"/>
        <w:gridCol w:w="302"/>
        <w:gridCol w:w="7"/>
        <w:gridCol w:w="267"/>
        <w:gridCol w:w="10"/>
        <w:gridCol w:w="276"/>
        <w:gridCol w:w="276"/>
        <w:gridCol w:w="274"/>
        <w:gridCol w:w="273"/>
        <w:gridCol w:w="272"/>
        <w:gridCol w:w="273"/>
        <w:gridCol w:w="310"/>
        <w:gridCol w:w="273"/>
        <w:gridCol w:w="273"/>
        <w:gridCol w:w="273"/>
        <w:gridCol w:w="273"/>
        <w:gridCol w:w="272"/>
        <w:gridCol w:w="273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68"/>
      </w:tblGrid>
      <w:tr w:rsidR="00847C59" w:rsidRPr="009956C4" w:rsidTr="00762A8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trHeight w:val="227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ROPA DE TRABAJO Y EQUIPOS DE PROTECCIÓN PERSONAL PARA EL PERSONAL DE ENDE – GESTIÓN 2025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trHeight w:val="20"/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47C59" w:rsidRPr="009956C4" w:rsidTr="00762A83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47C59" w:rsidRPr="009956C4" w:rsidTr="00762A83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47C59" w:rsidRPr="009956C4" w:rsidTr="00762A83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Default="00847C59" w:rsidP="00762A83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W w:w="6943" w:type="dxa"/>
              <w:tblInd w:w="5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985"/>
              <w:gridCol w:w="1134"/>
              <w:gridCol w:w="850"/>
              <w:gridCol w:w="1134"/>
              <w:gridCol w:w="1415"/>
            </w:tblGrid>
            <w:tr w:rsidR="00847C59" w:rsidRPr="00301A4B" w:rsidTr="00762A83">
              <w:trPr>
                <w:trHeight w:val="349"/>
              </w:trPr>
              <w:tc>
                <w:tcPr>
                  <w:tcW w:w="69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00B0F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LOTE Nº 1</w:t>
                  </w:r>
                </w:p>
              </w:tc>
            </w:tr>
            <w:tr w:rsidR="00847C59" w:rsidRPr="00301A4B" w:rsidTr="00762A83">
              <w:trPr>
                <w:trHeight w:val="69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00B0F0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PRECIO REFERENCIAL TOTAL</w:t>
                  </w:r>
                </w:p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(BS.)</w:t>
                  </w:r>
                </w:p>
              </w:tc>
            </w:tr>
            <w:tr w:rsidR="00847C59" w:rsidRPr="00301A4B" w:rsidTr="00762A83">
              <w:trPr>
                <w:trHeight w:val="277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Pantalón Jean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132,00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49.764,00</w:t>
                  </w:r>
                </w:p>
              </w:tc>
            </w:tr>
            <w:tr w:rsidR="00847C59" w:rsidRPr="00301A4B" w:rsidTr="00762A83">
              <w:trPr>
                <w:trHeight w:val="267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Chamarra impermeable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347,00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75.993,00</w:t>
                  </w:r>
                </w:p>
              </w:tc>
            </w:tr>
            <w:tr w:rsidR="00847C59" w:rsidRPr="00301A4B" w:rsidTr="00762A83">
              <w:trPr>
                <w:trHeight w:val="413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Conjunto para agua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</w:t>
                  </w:r>
                  <w:r w:rsidRPr="00301A4B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195,00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3.900,00</w:t>
                  </w:r>
                </w:p>
              </w:tc>
            </w:tr>
            <w:tr w:rsidR="00847C59" w:rsidRPr="00301A4B" w:rsidTr="00762A83">
              <w:trPr>
                <w:trHeight w:val="43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Poncho Impermeable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65,00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7.865,00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Overol Térmico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285,00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570,00</w:t>
                  </w:r>
                </w:p>
              </w:tc>
            </w:tr>
            <w:tr w:rsidR="00847C59" w:rsidRPr="00301A4B" w:rsidTr="00762A83">
              <w:trPr>
                <w:trHeight w:val="318"/>
              </w:trPr>
              <w:tc>
                <w:tcPr>
                  <w:tcW w:w="552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TOTAL LOTE Nº 1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138.092,00</w:t>
                  </w:r>
                </w:p>
              </w:tc>
            </w:tr>
            <w:tr w:rsidR="00847C59" w:rsidRPr="00301A4B" w:rsidTr="00762A83">
              <w:trPr>
                <w:trHeight w:val="11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47C59" w:rsidRPr="00301A4B" w:rsidTr="00762A83">
              <w:trPr>
                <w:trHeight w:val="356"/>
              </w:trPr>
              <w:tc>
                <w:tcPr>
                  <w:tcW w:w="69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4B084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LOTE Nº 2</w:t>
                  </w:r>
                </w:p>
              </w:tc>
            </w:tr>
            <w:tr w:rsidR="00847C59" w:rsidRPr="00301A4B" w:rsidTr="00762A83">
              <w:trPr>
                <w:trHeight w:val="829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PRECIO REFERENCIAL TOTAL</w:t>
                  </w:r>
                </w:p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(BS.)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Casco de seguridad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95,00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9.880,00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Legionario para Casco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4.680,00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Pasamontaña adosable al casco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70,00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2.310,00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Sombrero Legionario(tipo safari)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10.215,00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Linterna para Casco de Seguridad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195,00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28.080,00</w:t>
                  </w:r>
                </w:p>
              </w:tc>
            </w:tr>
            <w:tr w:rsidR="00847C59" w:rsidRPr="00301A4B" w:rsidTr="00762A83">
              <w:trPr>
                <w:trHeight w:val="404"/>
              </w:trPr>
              <w:tc>
                <w:tcPr>
                  <w:tcW w:w="552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TOTAL LOTE Nº 2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55.165,00</w:t>
                  </w:r>
                </w:p>
              </w:tc>
            </w:tr>
            <w:tr w:rsidR="00847C59" w:rsidRPr="00301A4B" w:rsidTr="00762A83">
              <w:trPr>
                <w:trHeight w:val="67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7C59" w:rsidRPr="00301A4B" w:rsidTr="00762A83">
              <w:trPr>
                <w:trHeight w:val="200"/>
              </w:trPr>
              <w:tc>
                <w:tcPr>
                  <w:tcW w:w="69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LOTE Nº 3</w:t>
                  </w:r>
                </w:p>
              </w:tc>
            </w:tr>
            <w:tr w:rsidR="00847C59" w:rsidRPr="00301A4B" w:rsidTr="00762A83">
              <w:trPr>
                <w:trHeight w:val="48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PRECIO REFERENCIAL TOTAL</w:t>
                  </w:r>
                </w:p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(BS.)</w:t>
                  </w:r>
                </w:p>
              </w:tc>
            </w:tr>
            <w:tr w:rsidR="00847C59" w:rsidRPr="00301A4B" w:rsidTr="00762A83">
              <w:trPr>
                <w:trHeight w:val="40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90A83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</w:t>
                  </w:r>
                  <w:r w:rsidRPr="00390A83">
                    <w:rPr>
                      <w:rFonts w:ascii="Calibri" w:hAnsi="Calibri"/>
                      <w:color w:val="000000"/>
                    </w:rPr>
                    <w:t>entes de seguridad oscuras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10.125,00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Lentes Antiparras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75,00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1.200,00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Protector auditivo de copa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110,00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10.010,00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Protector auditivo de inserción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6,00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1.062,00</w:t>
                  </w:r>
                </w:p>
              </w:tc>
            </w:tr>
            <w:tr w:rsidR="00847C59" w:rsidRPr="00301A4B" w:rsidTr="00762A83">
              <w:trPr>
                <w:trHeight w:val="69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Mascarilla descartable con aplicación para polvo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2.950,00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Mascara facial de medio rostro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330,00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6.600,00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Botas Impermeables p/uso Industrial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155,00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18.135,00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Guante Aislante (de goma) BT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1.850,00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3.700,00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Guante mecánico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32,00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4.736,00</w:t>
                  </w:r>
                </w:p>
              </w:tc>
            </w:tr>
            <w:tr w:rsidR="00847C59" w:rsidRPr="00301A4B" w:rsidTr="00762A83">
              <w:trPr>
                <w:trHeight w:val="69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Guante ergonómico flexible o palma engomada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186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12,00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2.232,00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Guante de Nitrilo SSPP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58,00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2.320,00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Mascara para soldar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850,00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1.700,00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Polaina de Descarne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75,00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600,00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Arnés de Seguridad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850,00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10.200,00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Línea  de Sujeción  (Eslinga Y)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837,00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5.022,00</w:t>
                  </w:r>
                </w:p>
              </w:tc>
            </w:tr>
            <w:tr w:rsidR="00847C59" w:rsidRPr="00301A4B" w:rsidTr="00762A83">
              <w:trPr>
                <w:trHeight w:val="46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Línea de Sujeción (Simple)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487,00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2.922,00</w:t>
                  </w:r>
                </w:p>
              </w:tc>
            </w:tr>
            <w:tr w:rsidR="00847C59" w:rsidRPr="00301A4B" w:rsidTr="00762A83">
              <w:trPr>
                <w:trHeight w:val="311"/>
              </w:trPr>
              <w:tc>
                <w:tcPr>
                  <w:tcW w:w="552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TOTAL LOTE Nº 3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83.514,00</w:t>
                  </w:r>
                </w:p>
              </w:tc>
            </w:tr>
            <w:tr w:rsidR="00847C59" w:rsidRPr="00301A4B" w:rsidTr="00762A83">
              <w:trPr>
                <w:trHeight w:val="131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47C59" w:rsidRPr="00301A4B" w:rsidTr="00762A83">
              <w:trPr>
                <w:trHeight w:val="221"/>
              </w:trPr>
              <w:tc>
                <w:tcPr>
                  <w:tcW w:w="69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LOTE Nº 4 </w:t>
                  </w:r>
                </w:p>
              </w:tc>
            </w:tr>
            <w:tr w:rsidR="00847C59" w:rsidRPr="00301A4B" w:rsidTr="00762A83">
              <w:trPr>
                <w:trHeight w:val="785"/>
              </w:trPr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PRECIO REFERENCIAL TOTAL</w:t>
                  </w:r>
                </w:p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(BS.)</w:t>
                  </w:r>
                </w:p>
              </w:tc>
            </w:tr>
            <w:tr w:rsidR="00847C59" w:rsidRPr="00301A4B" w:rsidTr="00762A83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7C59" w:rsidRPr="00301A4B" w:rsidRDefault="00847C59" w:rsidP="00762A83">
                  <w:pPr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Calzado de seguridad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Par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940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301A4B">
                    <w:rPr>
                      <w:rFonts w:ascii="Calibri" w:hAnsi="Calibri"/>
                      <w:color w:val="000000"/>
                    </w:rPr>
                    <w:t>211.500,00</w:t>
                  </w:r>
                </w:p>
              </w:tc>
            </w:tr>
            <w:tr w:rsidR="00847C59" w:rsidRPr="00301A4B" w:rsidTr="00762A83">
              <w:trPr>
                <w:trHeight w:val="197"/>
              </w:trPr>
              <w:tc>
                <w:tcPr>
                  <w:tcW w:w="552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TOTAL LOTE Nº 4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847C59" w:rsidRPr="00301A4B" w:rsidRDefault="00847C59" w:rsidP="00762A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301A4B">
                    <w:rPr>
                      <w:rFonts w:ascii="Calibri" w:hAnsi="Calibri"/>
                      <w:b/>
                      <w:bCs/>
                      <w:color w:val="000000"/>
                    </w:rPr>
                    <w:t>211.500,00</w:t>
                  </w:r>
                </w:p>
              </w:tc>
            </w:tr>
          </w:tbl>
          <w:p w:rsidR="00847C59" w:rsidRPr="009956C4" w:rsidRDefault="00847C59" w:rsidP="00762A83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trHeight w:val="24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5" w:type="dxa"/>
            <w:gridSpan w:val="17"/>
            <w:tcBorders>
              <w:left w:val="single" w:sz="4" w:space="0" w:color="auto"/>
            </w:tcBorders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2E45E9" w:rsidRDefault="00847C59" w:rsidP="00762A8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847C59" w:rsidRDefault="00847C59" w:rsidP="00762A8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2E45E9">
              <w:rPr>
                <w:rFonts w:ascii="Tahoma" w:hAnsi="Tahoma" w:cs="Tahoma"/>
                <w:bCs/>
                <w:sz w:val="14"/>
                <w:szCs w:val="14"/>
              </w:rPr>
              <w:t>El plazo de entrega establecido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para el presente proceso</w:t>
            </w:r>
            <w:r w:rsidRPr="002E45E9">
              <w:rPr>
                <w:rFonts w:ascii="Tahoma" w:hAnsi="Tahoma" w:cs="Tahoma"/>
                <w:bCs/>
                <w:sz w:val="14"/>
                <w:szCs w:val="14"/>
              </w:rPr>
              <w:t xml:space="preserve"> es de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30</w:t>
            </w:r>
            <w:r w:rsidRPr="002E45E9">
              <w:rPr>
                <w:rFonts w:ascii="Tahoma" w:hAnsi="Tahoma" w:cs="Tahoma"/>
                <w:bCs/>
                <w:sz w:val="14"/>
                <w:szCs w:val="14"/>
              </w:rPr>
              <w:t xml:space="preserve"> días calendario, computables a partir del día siguiente hábil de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la firma de contrato, pudiendo el proveedor ofertar plazos menores de entrega.</w:t>
            </w:r>
          </w:p>
          <w:p w:rsidR="00847C59" w:rsidRPr="009956C4" w:rsidRDefault="00847C59" w:rsidP="00762A83">
            <w:pPr>
              <w:ind w:right="113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354908" w:rsidRDefault="00847C59" w:rsidP="00762A8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:rsidR="00847C59" w:rsidRDefault="00847C59" w:rsidP="00762A8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847C59" w:rsidRDefault="00847C59" w:rsidP="00762A8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Boleta de Garantía, Garantía a Primer Requerimiento o Póliza de Seguro de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>Caución a Primer Requerimiento; todos con la característica de renovable, irrevocable y de ejecución inmediata, con el objeto garantizar la conclusión y entrega del objeto de contrato.</w:t>
            </w:r>
          </w:p>
          <w:p w:rsidR="00847C59" w:rsidRPr="00354908" w:rsidRDefault="00847C59" w:rsidP="00762A83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847C59" w:rsidRDefault="00847C59" w:rsidP="00762A83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Cumpliendo el Artículo 21 inciso b)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   será equivalente al siete por ciento (7%)  del monto del contrato;   las Micro y Pequeñas Empresas, Asociaciones de Pequeños Productores Urbanos y Rurales y Organizaciones Económicas Campesinas presentarán una </w:t>
            </w:r>
            <w:r w:rsidRPr="00354908">
              <w:rPr>
                <w:rFonts w:ascii="Tahoma" w:hAnsi="Tahoma" w:cs="Tahoma"/>
                <w:b/>
                <w:bCs/>
                <w:sz w:val="14"/>
                <w:szCs w:val="14"/>
              </w:rPr>
              <w:t>Garantía de Cumplimiento de Contrato</w:t>
            </w:r>
            <w:r w:rsidRPr="00354908">
              <w:rPr>
                <w:rFonts w:ascii="Tahoma" w:hAnsi="Tahoma" w:cs="Tahoma"/>
                <w:bCs/>
                <w:sz w:val="14"/>
                <w:szCs w:val="14"/>
              </w:rPr>
              <w:t xml:space="preserve"> por un monto equivalente al tres punto cinco por ciento (3.5%) del valor del contrato.</w:t>
            </w:r>
          </w:p>
          <w:p w:rsidR="00847C59" w:rsidRDefault="00847C59" w:rsidP="00762A83">
            <w:pPr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847C59" w:rsidRPr="009956C4" w:rsidRDefault="00847C59" w:rsidP="00762A83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47C59" w:rsidRPr="009956C4" w:rsidTr="00762A8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47C59" w:rsidRPr="00156685" w:rsidRDefault="00847C59" w:rsidP="00762A83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47C59" w:rsidRPr="009956C4" w:rsidTr="00762A83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847C59" w:rsidRPr="009956C4" w:rsidRDefault="00847C59" w:rsidP="00762A8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4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7C59" w:rsidRPr="009956C4" w:rsidTr="00762A83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47C59" w:rsidRPr="009956C4" w:rsidRDefault="00847C59" w:rsidP="00762A83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52461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lastRenderedPageBreak/>
              <w:t>INFORMACIÓN DEL DOCUMENTO BASE DE CONTRATACIÓN (DBC</w:t>
            </w:r>
            <w:r w:rsidRPr="0075246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75246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47C59" w:rsidRPr="009956C4" w:rsidTr="00762A8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7C59" w:rsidRPr="00623201" w:rsidTr="00762A8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</w:rPr>
            </w:pPr>
            <w:r w:rsidRPr="00E2259C">
              <w:rPr>
                <w:rFonts w:ascii="Arial" w:hAnsi="Arial" w:cs="Arial"/>
              </w:rPr>
              <w:t>CALLE COLOMBIA Nº 655 -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A3ADE" w:rsidRDefault="00847C59" w:rsidP="00762A83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09:00 a.m. a 12:30 p.m.</w:t>
            </w:r>
          </w:p>
          <w:p w:rsidR="00847C59" w:rsidRPr="009A3ADE" w:rsidRDefault="00847C59" w:rsidP="00762A83">
            <w:pPr>
              <w:rPr>
                <w:rFonts w:ascii="Arial" w:hAnsi="Arial" w:cs="Arial"/>
                <w:lang w:val="en-US"/>
              </w:rPr>
            </w:pP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14:30 p.m. a 19:00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A3ADE" w:rsidRDefault="00847C59" w:rsidP="00762A83">
            <w:pPr>
              <w:rPr>
                <w:rFonts w:ascii="Arial" w:hAnsi="Arial" w:cs="Arial"/>
                <w:lang w:val="en-US"/>
              </w:rPr>
            </w:pPr>
          </w:p>
        </w:tc>
      </w:tr>
      <w:tr w:rsidR="00847C59" w:rsidRPr="00623201" w:rsidTr="00762A8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A3ADE" w:rsidRDefault="00847C59" w:rsidP="00762A8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A3ADE" w:rsidRDefault="00847C59" w:rsidP="00762A83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47C59" w:rsidRPr="009A3ADE" w:rsidRDefault="00847C59" w:rsidP="00762A8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847C59" w:rsidRPr="009A3ADE" w:rsidRDefault="00847C59" w:rsidP="00762A83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847C59" w:rsidRPr="009A3ADE" w:rsidRDefault="00847C59" w:rsidP="00762A83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847C59" w:rsidRPr="009A3ADE" w:rsidRDefault="00847C59" w:rsidP="00762A83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847C59" w:rsidRPr="009A3ADE" w:rsidRDefault="00847C59" w:rsidP="00762A83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47C59" w:rsidRPr="009956C4" w:rsidRDefault="00847C59" w:rsidP="00762A83">
            <w:pPr>
              <w:rPr>
                <w:rFonts w:ascii="Arial" w:hAnsi="Arial" w:cs="Arial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7C59" w:rsidRPr="009956C4" w:rsidTr="00762A83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402294" w:rsidRDefault="00847C59" w:rsidP="00762A8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E2259C"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7C59" w:rsidRPr="009956C4" w:rsidTr="00762A83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7C59" w:rsidRPr="009956C4" w:rsidTr="00762A83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47C59" w:rsidRPr="009956C4" w:rsidRDefault="00847C59" w:rsidP="00762A8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847C59" w:rsidRDefault="00847C59" w:rsidP="00847C59">
      <w:pPr>
        <w:jc w:val="center"/>
        <w:rPr>
          <w:rFonts w:cs="Arial"/>
          <w:b/>
          <w:sz w:val="18"/>
          <w:szCs w:val="18"/>
          <w:lang w:val="es-BO"/>
        </w:rPr>
      </w:pPr>
    </w:p>
    <w:p w:rsidR="00847C59" w:rsidRDefault="00847C59" w:rsidP="00752461">
      <w:pPr>
        <w:pStyle w:val="Ttulo1"/>
        <w:numPr>
          <w:ilvl w:val="0"/>
          <w:numId w:val="0"/>
        </w:numPr>
        <w:ind w:left="-567"/>
        <w:rPr>
          <w:rFonts w:ascii="Verdana" w:hAnsi="Verdana" w:cs="Arial"/>
          <w:sz w:val="18"/>
          <w:szCs w:val="18"/>
          <w:u w:val="none"/>
          <w:lang w:val="es-BO"/>
        </w:rPr>
      </w:pPr>
      <w:bookmarkStart w:id="4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:rsidR="00752461" w:rsidRPr="00752461" w:rsidRDefault="00752461" w:rsidP="00752461">
      <w:pPr>
        <w:rPr>
          <w:lang w:val="es-BO"/>
        </w:rPr>
      </w:pPr>
    </w:p>
    <w:tbl>
      <w:tblPr>
        <w:tblW w:w="1049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847C59" w:rsidRPr="009956C4" w:rsidTr="00752461">
        <w:trPr>
          <w:trHeight w:val="251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C59" w:rsidRPr="009956C4" w:rsidRDefault="00847C59" w:rsidP="00762A8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47C59" w:rsidRPr="009956C4" w:rsidRDefault="00847C59" w:rsidP="00762A83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47C59" w:rsidRPr="009956C4" w:rsidRDefault="00847C59" w:rsidP="00762A83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847C59" w:rsidRPr="009956C4" w:rsidRDefault="00847C59" w:rsidP="00762A83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847C59" w:rsidRPr="009956C4" w:rsidRDefault="00847C59" w:rsidP="00762A8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847C59" w:rsidRPr="009956C4" w:rsidRDefault="00847C59" w:rsidP="00762A83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847C59" w:rsidRPr="009956C4" w:rsidRDefault="00847C59" w:rsidP="00762A83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47C59" w:rsidRPr="009956C4" w:rsidRDefault="00847C59" w:rsidP="00762A83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847C59" w:rsidRPr="009956C4" w:rsidRDefault="00847C59" w:rsidP="00847C59">
      <w:pPr>
        <w:jc w:val="right"/>
        <w:rPr>
          <w:rFonts w:ascii="Arial" w:hAnsi="Arial" w:cs="Arial"/>
          <w:lang w:val="es-BO"/>
        </w:rPr>
      </w:pPr>
    </w:p>
    <w:p w:rsidR="00847C59" w:rsidRDefault="00847C59" w:rsidP="00752461">
      <w:pPr>
        <w:ind w:left="-993" w:firstLine="142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847C59" w:rsidRPr="009956C4" w:rsidRDefault="00847C59" w:rsidP="00847C59">
      <w:pPr>
        <w:jc w:val="right"/>
        <w:rPr>
          <w:rFonts w:ascii="Arial" w:hAnsi="Arial" w:cs="Arial"/>
          <w:lang w:val="es-BO"/>
        </w:rPr>
      </w:pPr>
    </w:p>
    <w:tbl>
      <w:tblPr>
        <w:tblW w:w="1049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398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1821"/>
        <w:gridCol w:w="142"/>
      </w:tblGrid>
      <w:tr w:rsidR="00847C59" w:rsidRPr="009956C4" w:rsidTr="00752461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47C59" w:rsidRPr="009956C4" w:rsidTr="00752461">
        <w:trPr>
          <w:trHeight w:val="130"/>
        </w:trPr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116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18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27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39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C59" w:rsidRPr="009956C4" w:rsidTr="00752461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39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C59" w:rsidRPr="009956C4" w:rsidTr="0075246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C59" w:rsidRPr="009956C4" w:rsidTr="00752461"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847C59" w:rsidRPr="009956C4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rPr>
          <w:trHeight w:val="7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847C59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847C59" w:rsidRPr="009956C4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C59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847C59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1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9956C4" w:rsidTr="0075246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9956C4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9956C4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A244D6" w:rsidTr="00752461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C59" w:rsidRPr="00A244D6" w:rsidRDefault="00847C59" w:rsidP="00762A8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847C59" w:rsidRPr="00A244D6" w:rsidRDefault="00847C59" w:rsidP="00762A8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C59" w:rsidRPr="00A244D6" w:rsidTr="00752461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7C59" w:rsidRPr="00A244D6" w:rsidRDefault="00847C59" w:rsidP="00762A8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7C59" w:rsidRPr="00A244D6" w:rsidRDefault="00847C59" w:rsidP="00762A8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C59" w:rsidRPr="00A244D6" w:rsidTr="00752461"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7C59" w:rsidRPr="00A244D6" w:rsidRDefault="00847C59" w:rsidP="00762A8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47C59" w:rsidRPr="00A244D6" w:rsidRDefault="00847C59" w:rsidP="00762A8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7C59" w:rsidRPr="00A244D6" w:rsidRDefault="00847C59" w:rsidP="00762A8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7C59" w:rsidRPr="00A244D6" w:rsidRDefault="00847C59" w:rsidP="00762A8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752461" w:rsidRDefault="00752461" w:rsidP="00847C59">
      <w:pPr>
        <w:rPr>
          <w:rFonts w:cs="Arial"/>
          <w:i/>
          <w:sz w:val="14"/>
          <w:szCs w:val="18"/>
          <w:lang w:val="es-BO"/>
        </w:rPr>
      </w:pPr>
    </w:p>
    <w:p w:rsidR="00847C59" w:rsidRPr="00A244D6" w:rsidRDefault="00847C59" w:rsidP="00752461">
      <w:pPr>
        <w:ind w:left="-993" w:right="-994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47C59" w:rsidRPr="0077744B" w:rsidRDefault="00847C59" w:rsidP="00752461">
      <w:pPr>
        <w:ind w:left="-993" w:right="-994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847C59" w:rsidRDefault="00A8713B">
      <w:pPr>
        <w:rPr>
          <w:lang w:val="es-BO"/>
        </w:rPr>
      </w:pPr>
    </w:p>
    <w:sectPr w:rsidR="00775B51" w:rsidRPr="00847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891"/>
    <w:multiLevelType w:val="multilevel"/>
    <w:tmpl w:val="5D4247A8"/>
    <w:lvl w:ilvl="0">
      <w:start w:val="30"/>
      <w:numFmt w:val="decimal"/>
      <w:lvlText w:val="%1"/>
      <w:lvlJc w:val="left"/>
      <w:pPr>
        <w:ind w:left="420" w:hanging="420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 w:hint="default"/>
        <w:sz w:val="20"/>
      </w:r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3">
    <w:nsid w:val="05B7678F"/>
    <w:multiLevelType w:val="multilevel"/>
    <w:tmpl w:val="3C8C3ADC"/>
    <w:lvl w:ilvl="0">
      <w:start w:val="30"/>
      <w:numFmt w:val="decimal"/>
      <w:lvlText w:val="%1"/>
      <w:lvlJc w:val="left"/>
      <w:pPr>
        <w:ind w:left="600" w:hanging="600"/>
      </w:pPr>
      <w:rPr>
        <w:rFonts w:ascii="Verdana" w:hAnsi="Verdana" w:cs="Arial" w:hint="default"/>
        <w:b/>
        <w:sz w:val="18"/>
      </w:rPr>
    </w:lvl>
    <w:lvl w:ilvl="1">
      <w:start w:val="30"/>
      <w:numFmt w:val="decimal"/>
      <w:lvlText w:val="%1.%2"/>
      <w:lvlJc w:val="left"/>
      <w:pPr>
        <w:ind w:left="1451" w:hanging="60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Verdana" w:hAnsi="Verdana" w:cs="Arial" w:hint="default"/>
        <w:b/>
        <w:sz w:val="18"/>
      </w:rPr>
    </w:lvl>
  </w:abstractNum>
  <w:abstractNum w:abstractNumId="4">
    <w:nsid w:val="06977E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7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1A9B568F"/>
    <w:multiLevelType w:val="hybridMultilevel"/>
    <w:tmpl w:val="9F3AFFEA"/>
    <w:lvl w:ilvl="0" w:tplc="393402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8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9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3BD921BA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7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6"/>
  </w:num>
  <w:num w:numId="5">
    <w:abstractNumId w:val="12"/>
  </w:num>
  <w:num w:numId="6">
    <w:abstractNumId w:val="35"/>
  </w:num>
  <w:num w:numId="7">
    <w:abstractNumId w:val="8"/>
  </w:num>
  <w:num w:numId="8">
    <w:abstractNumId w:val="6"/>
  </w:num>
  <w:num w:numId="9">
    <w:abstractNumId w:val="5"/>
  </w:num>
  <w:num w:numId="10">
    <w:abstractNumId w:val="28"/>
  </w:num>
  <w:num w:numId="11">
    <w:abstractNumId w:val="22"/>
  </w:num>
  <w:num w:numId="12">
    <w:abstractNumId w:val="26"/>
  </w:num>
  <w:num w:numId="13">
    <w:abstractNumId w:val="21"/>
  </w:num>
  <w:num w:numId="14">
    <w:abstractNumId w:val="10"/>
  </w:num>
  <w:num w:numId="15">
    <w:abstractNumId w:val="46"/>
  </w:num>
  <w:num w:numId="16">
    <w:abstractNumId w:val="7"/>
  </w:num>
  <w:num w:numId="17">
    <w:abstractNumId w:val="17"/>
  </w:num>
  <w:num w:numId="18">
    <w:abstractNumId w:val="23"/>
  </w:num>
  <w:num w:numId="19">
    <w:abstractNumId w:val="31"/>
  </w:num>
  <w:num w:numId="20">
    <w:abstractNumId w:val="45"/>
  </w:num>
  <w:num w:numId="21">
    <w:abstractNumId w:val="9"/>
  </w:num>
  <w:num w:numId="22">
    <w:abstractNumId w:val="13"/>
  </w:num>
  <w:num w:numId="23">
    <w:abstractNumId w:val="38"/>
  </w:num>
  <w:num w:numId="24">
    <w:abstractNumId w:val="1"/>
  </w:num>
  <w:num w:numId="25">
    <w:abstractNumId w:val="33"/>
  </w:num>
  <w:num w:numId="26">
    <w:abstractNumId w:val="15"/>
  </w:num>
  <w:num w:numId="27">
    <w:abstractNumId w:val="44"/>
  </w:num>
  <w:num w:numId="28">
    <w:abstractNumId w:val="47"/>
  </w:num>
  <w:num w:numId="29">
    <w:abstractNumId w:val="19"/>
  </w:num>
  <w:num w:numId="30">
    <w:abstractNumId w:val="37"/>
  </w:num>
  <w:num w:numId="31">
    <w:abstractNumId w:val="48"/>
  </w:num>
  <w:num w:numId="32">
    <w:abstractNumId w:val="34"/>
  </w:num>
  <w:num w:numId="33">
    <w:abstractNumId w:val="2"/>
  </w:num>
  <w:num w:numId="34">
    <w:abstractNumId w:val="16"/>
  </w:num>
  <w:num w:numId="35">
    <w:abstractNumId w:val="25"/>
  </w:num>
  <w:num w:numId="36">
    <w:abstractNumId w:val="24"/>
  </w:num>
  <w:num w:numId="37">
    <w:abstractNumId w:val="11"/>
  </w:num>
  <w:num w:numId="38">
    <w:abstractNumId w:val="43"/>
  </w:num>
  <w:num w:numId="39">
    <w:abstractNumId w:val="41"/>
  </w:num>
  <w:num w:numId="40">
    <w:abstractNumId w:val="27"/>
  </w:num>
  <w:num w:numId="41">
    <w:abstractNumId w:val="42"/>
  </w:num>
  <w:num w:numId="42">
    <w:abstractNumId w:val="40"/>
  </w:num>
  <w:num w:numId="43">
    <w:abstractNumId w:val="20"/>
  </w:num>
  <w:num w:numId="44">
    <w:abstractNumId w:val="32"/>
  </w:num>
  <w:num w:numId="45">
    <w:abstractNumId w:val="30"/>
  </w:num>
  <w:num w:numId="46">
    <w:abstractNumId w:val="18"/>
  </w:num>
  <w:num w:numId="47">
    <w:abstractNumId w:val="4"/>
  </w:num>
  <w:num w:numId="48">
    <w:abstractNumId w:val="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59"/>
    <w:rsid w:val="006347C3"/>
    <w:rsid w:val="0063631F"/>
    <w:rsid w:val="00752461"/>
    <w:rsid w:val="00847C59"/>
    <w:rsid w:val="00A8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9C7E3-6721-4ECA-9563-B7CA90E1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59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7C5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47C5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847C5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847C59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47C5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847C5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847C5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847C5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847C5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C5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7C5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47C5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7C59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847C59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847C5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uiPriority w:val="9"/>
    <w:rsid w:val="00847C5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847C5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47C59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847C5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847C59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uiPriority w:val="99"/>
    <w:rsid w:val="00847C5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47C5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47C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C59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847C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C59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847C5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847C5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99"/>
    <w:qFormat/>
    <w:rsid w:val="00847C5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47C5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47C5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47C5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47C5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847C5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47C5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847C5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47C59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847C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7C59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847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47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847C5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47C5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47C59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847C5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47C5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47C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47C5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47C59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uiPriority w:val="10"/>
    <w:qFormat/>
    <w:rsid w:val="00847C5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847C5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uiPriority w:val="99"/>
    <w:rsid w:val="00847C5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847C5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47C5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847C5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7C59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rsid w:val="00847C59"/>
    <w:rPr>
      <w:vertAlign w:val="superscript"/>
    </w:rPr>
  </w:style>
  <w:style w:type="paragraph" w:customStyle="1" w:styleId="BodyText21">
    <w:name w:val="Body Text 21"/>
    <w:basedOn w:val="Normal"/>
    <w:rsid w:val="00847C5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47C5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47C5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847C59"/>
  </w:style>
  <w:style w:type="paragraph" w:customStyle="1" w:styleId="Document1">
    <w:name w:val="Document 1"/>
    <w:rsid w:val="00847C5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847C5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47C59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847C5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47C59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847C5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47C5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847C5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847C5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847C5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847C5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47C5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47C5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47C5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47C59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847C5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47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847C5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47C59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847C5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47C59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847C5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847C5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47C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47C5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847C5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47C5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47C5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47C5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847C59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99"/>
    <w:qFormat/>
    <w:locked/>
    <w:rsid w:val="00847C59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47C5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47C5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847C5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47C5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47C5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47C59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847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47C59"/>
    <w:rPr>
      <w:rFonts w:ascii="Courier New" w:eastAsiaTheme="minorEastAsia" w:hAnsi="Courier New" w:cs="Courier New"/>
      <w:sz w:val="20"/>
      <w:szCs w:val="20"/>
      <w:lang w:eastAsia="es-ES"/>
    </w:rPr>
  </w:style>
  <w:style w:type="character" w:customStyle="1" w:styleId="y2iqfc">
    <w:name w:val="y2iqfc"/>
    <w:rsid w:val="00847C59"/>
  </w:style>
  <w:style w:type="table" w:styleId="Tabladecuadrcula5oscura">
    <w:name w:val="Grid Table 5 Dark"/>
    <w:basedOn w:val="Tablanormal"/>
    <w:uiPriority w:val="50"/>
    <w:rsid w:val="00847C59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847C59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847C59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847C59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847C59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847C59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847C59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847C59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847C59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2024-08-28T22:56:00Z</dcterms:created>
  <dcterms:modified xsi:type="dcterms:W3CDTF">2024-08-28T22:56:00Z</dcterms:modified>
</cp:coreProperties>
</file>