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6D" w:rsidRPr="009956C4" w:rsidRDefault="00795C6D" w:rsidP="00795C6D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Toc346871641"/>
      <w:bookmarkStart w:id="1" w:name="_Toc346873831"/>
      <w:bookmarkStart w:id="2" w:name="_GoBack"/>
      <w:bookmarkEnd w:id="2"/>
    </w:p>
    <w:p w:rsidR="00795C6D" w:rsidRPr="009956C4" w:rsidRDefault="00795C6D" w:rsidP="00795C6D">
      <w:pPr>
        <w:jc w:val="center"/>
        <w:rPr>
          <w:rFonts w:cs="Arial"/>
          <w:sz w:val="2"/>
          <w:szCs w:val="18"/>
          <w:lang w:val="es-BO"/>
        </w:rPr>
      </w:pPr>
    </w:p>
    <w:p w:rsidR="00795C6D" w:rsidRPr="009956C4" w:rsidRDefault="00795C6D" w:rsidP="00795C6D">
      <w:pPr>
        <w:jc w:val="center"/>
        <w:rPr>
          <w:rFonts w:cs="Arial"/>
          <w:sz w:val="2"/>
          <w:szCs w:val="18"/>
          <w:lang w:val="es-BO"/>
        </w:rPr>
      </w:pPr>
    </w:p>
    <w:p w:rsidR="00795C6D" w:rsidRDefault="00795C6D" w:rsidP="00795C6D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:rsidR="00795C6D" w:rsidRDefault="00795C6D" w:rsidP="00795C6D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95C6D" w:rsidRPr="009956C4" w:rsidTr="006A698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5C6D" w:rsidRPr="009956C4" w:rsidRDefault="00795C6D" w:rsidP="006A698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795C6D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795C6D" w:rsidRPr="009956C4" w:rsidTr="006A698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795C6D" w:rsidRPr="009956C4" w:rsidTr="006A698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</w:tr>
      <w:tr w:rsidR="00795C6D" w:rsidRPr="009956C4" w:rsidTr="006A698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</w:t>
            </w:r>
            <w:r>
              <w:rPr>
                <w:rFonts w:ascii="Arial" w:hAnsi="Arial" w:cs="Arial"/>
                <w:sz w:val="14"/>
              </w:rPr>
              <w:t>040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</w:tr>
      <w:tr w:rsidR="00795C6D" w:rsidRPr="009956C4" w:rsidTr="006A698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795C6D" w:rsidRPr="009956C4" w:rsidTr="006A6984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310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7"/>
      </w:tblGrid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ROPA DE TRABAJO Y EQUIPOS DE PROTECCIÓN PERSONAL PARA EL PERSONAL DE ENDE – GESTIÓN 2025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Default="00795C6D" w:rsidP="006A698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795C6D" w:rsidRDefault="00795C6D" w:rsidP="006A6984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tbl>
            <w:tblPr>
              <w:tblW w:w="80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942"/>
              <w:gridCol w:w="760"/>
              <w:gridCol w:w="851"/>
              <w:gridCol w:w="850"/>
              <w:gridCol w:w="2405"/>
            </w:tblGrid>
            <w:tr w:rsidR="00795C6D" w:rsidRPr="00CA30C5" w:rsidTr="006A6984">
              <w:trPr>
                <w:trHeight w:val="300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00CC99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1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99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99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Pantalón Jean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132,00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49.764,00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Chamarra impermeable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347,00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75.993,00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00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1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125.757,00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7C8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2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7C8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7C8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7C8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7C8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7C8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7C8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Conjunto para agua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3.200,00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Poncho Impermeable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176,00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21.296,00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Legionario para Casco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5.720,00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Pasamontaña adosable al casco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1.980,00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Sombrero Legionario(tipo safari)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13.620,00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99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2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45.816,00</w:t>
                  </w: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95C6D" w:rsidRPr="00CA30C5" w:rsidRDefault="00795C6D" w:rsidP="006A698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95C6D" w:rsidRPr="00CA30C5" w:rsidRDefault="00795C6D" w:rsidP="006A698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95C6D" w:rsidRPr="00CA30C5" w:rsidRDefault="00795C6D" w:rsidP="006A698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795C6D" w:rsidRPr="00CA30C5" w:rsidRDefault="00795C6D" w:rsidP="006A698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C6D" w:rsidRPr="00CA30C5" w:rsidTr="006A6984">
              <w:trPr>
                <w:trHeight w:val="300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3</w:t>
                  </w:r>
                </w:p>
              </w:tc>
            </w:tr>
            <w:tr w:rsidR="00795C6D" w:rsidRPr="00CA30C5" w:rsidTr="006A6984">
              <w:trPr>
                <w:trHeight w:val="64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Casco de Seguridad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            95,00 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9.880,00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66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3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66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9.880,00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0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4</w:t>
                  </w:r>
                </w:p>
              </w:tc>
            </w:tr>
            <w:tr w:rsidR="00795C6D" w:rsidRPr="00CA30C5" w:rsidTr="006A6984">
              <w:trPr>
                <w:trHeight w:val="46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Lentes de Seguridad Oscuras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             55,00 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12.375,00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Lentes Antiparras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             75,00 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1.200,00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4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13.575,00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4B084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5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Protector auditivo de copa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10.010,00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Protector auditivo de inserción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1.062,00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lastRenderedPageBreak/>
                    <w:t>TOTAL LOTE Nº 5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11.072,00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2D05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6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36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Mascarilla descartable con aplicación para polvo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2.950,00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Mascara facial de medio rostro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6.600,00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92D05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6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9.550,00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99CC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7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Guante Aislante (de goma) BT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1.850,00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3.700,00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Guante mecánico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4.736,00</w:t>
                  </w:r>
                </w:p>
              </w:tc>
            </w:tr>
            <w:tr w:rsidR="00795C6D" w:rsidRPr="00CA30C5" w:rsidTr="006A6984">
              <w:trPr>
                <w:trHeight w:val="36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Guante ergonómico flexible o palma engomada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186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2.232,00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Guante de Nitrilo SSPP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58,00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2.320,00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99CC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7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12.988,00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CC0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8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0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00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Mascara para soldar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850,00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1.700,00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Polaina de Descarne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75,00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CC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8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C00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2.300,00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9999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9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Arnés de Seguridad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850,00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10.200,00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Línea  de Sujeción (Eslinga Y)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837,00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5.022,00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Línea de Sujeción (Simple)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Pz.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487,00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2.922,00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9999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9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18.144,00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80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66FF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LOTE Nº 10</w:t>
                  </w:r>
                </w:p>
              </w:tc>
            </w:tr>
            <w:tr w:rsidR="00795C6D" w:rsidRPr="00CA30C5" w:rsidTr="006A6984">
              <w:trPr>
                <w:trHeight w:val="720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795C6D" w:rsidRPr="00CA30C5" w:rsidRDefault="00795C6D" w:rsidP="006A6984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Calzado de seguridad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1.100,00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247.500,00</w:t>
                  </w:r>
                </w:p>
              </w:tc>
            </w:tr>
            <w:tr w:rsidR="00795C6D" w:rsidRPr="00CA30C5" w:rsidTr="006A6984">
              <w:trPr>
                <w:trHeight w:val="255"/>
              </w:trPr>
              <w:tc>
                <w:tcPr>
                  <w:tcW w:w="5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66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TOTAL LOTE Nº 10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6FFFF"/>
                  <w:noWrap/>
                  <w:vAlign w:val="center"/>
                  <w:hideMark/>
                </w:tcPr>
                <w:p w:rsidR="00795C6D" w:rsidRPr="00CA30C5" w:rsidRDefault="00795C6D" w:rsidP="006A698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A30C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247.500,00</w:t>
                  </w:r>
                </w:p>
              </w:tc>
            </w:tr>
          </w:tbl>
          <w:p w:rsidR="00795C6D" w:rsidRDefault="00795C6D" w:rsidP="006A6984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795C6D" w:rsidRPr="009956C4" w:rsidRDefault="00795C6D" w:rsidP="006A6984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2E45E9" w:rsidRDefault="00795C6D" w:rsidP="006A698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795C6D" w:rsidRDefault="00795C6D" w:rsidP="006A698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2E45E9">
              <w:rPr>
                <w:rFonts w:ascii="Tahoma" w:hAnsi="Tahoma" w:cs="Tahoma"/>
                <w:bCs/>
                <w:sz w:val="14"/>
                <w:szCs w:val="14"/>
              </w:rPr>
              <w:t>El plazo de entrega establecido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para el presente proceso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es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25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días calendario, computables a partir del día siguiente hábil de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la suscripción del contrato, pudiendo el proveedor ofertar plazos menores de entrega.</w:t>
            </w:r>
          </w:p>
          <w:p w:rsidR="00795C6D" w:rsidRPr="009956C4" w:rsidRDefault="00795C6D" w:rsidP="006A6984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354908" w:rsidRDefault="00795C6D" w:rsidP="006A698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795C6D" w:rsidRDefault="00795C6D" w:rsidP="006A698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795C6D" w:rsidRDefault="00795C6D" w:rsidP="006A698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Boleta de Garantía, Garantía a Primer Requerimiento o Póliza de Seguro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Caución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a Primer Requerimiento; todos con la característica de renovable, irrevocable y de ejecución inmediata, con el objeto garantizar la conclusión y entrega del objeto de contrato.</w:t>
            </w:r>
          </w:p>
          <w:p w:rsidR="00795C6D" w:rsidRPr="00354908" w:rsidRDefault="00795C6D" w:rsidP="006A6984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795C6D" w:rsidRDefault="00795C6D" w:rsidP="006A6984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Cumpliendo el Artículo 21 inciso b)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   será equivalente al siete por ciento (7%)  del monto del contrato;   las Micro y Pequeñas Empresas, Asociaciones de Pequeños Productores Urbanos y Rurales y Organizaciones 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lastRenderedPageBreak/>
              <w:t xml:space="preserve">Económicas Campesinas presentarán una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por un monto equivalente al tres punto cinco por ciento (3.5%) del valor del contrato.</w:t>
            </w:r>
          </w:p>
          <w:p w:rsidR="00795C6D" w:rsidRDefault="00795C6D" w:rsidP="006A6984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795C6D" w:rsidRPr="009956C4" w:rsidRDefault="00795C6D" w:rsidP="006A698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95C6D" w:rsidRPr="009956C4" w:rsidTr="006A698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95C6D" w:rsidRPr="00156685" w:rsidRDefault="00795C6D" w:rsidP="006A6984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795C6D" w:rsidRPr="009956C4" w:rsidTr="006A698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795C6D" w:rsidRPr="009956C4" w:rsidRDefault="00795C6D" w:rsidP="006A698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4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5C6D" w:rsidRPr="009956C4" w:rsidTr="006A6984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5C6D" w:rsidRPr="009956C4" w:rsidRDefault="00795C6D" w:rsidP="006A698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95C6D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795C6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795C6D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C6D" w:rsidRPr="00795C6D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A3ADE" w:rsidRDefault="00795C6D" w:rsidP="006A6984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a.m. a 12:30 p.m.</w:t>
            </w:r>
          </w:p>
          <w:p w:rsidR="00795C6D" w:rsidRPr="009A3ADE" w:rsidRDefault="00795C6D" w:rsidP="006A698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14:30 p.m. a 18:3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A3ADE" w:rsidRDefault="00795C6D" w:rsidP="006A6984">
            <w:pPr>
              <w:rPr>
                <w:rFonts w:ascii="Arial" w:hAnsi="Arial" w:cs="Arial"/>
                <w:lang w:val="en-US"/>
              </w:rPr>
            </w:pPr>
          </w:p>
        </w:tc>
      </w:tr>
      <w:tr w:rsidR="00795C6D" w:rsidRPr="00795C6D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A3ADE" w:rsidRDefault="00795C6D" w:rsidP="006A698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A3ADE" w:rsidRDefault="00795C6D" w:rsidP="006A6984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95C6D" w:rsidRPr="009A3ADE" w:rsidRDefault="00795C6D" w:rsidP="006A698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795C6D" w:rsidRPr="009A3ADE" w:rsidRDefault="00795C6D" w:rsidP="006A698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795C6D" w:rsidRPr="009A3ADE" w:rsidRDefault="00795C6D" w:rsidP="006A698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795C6D" w:rsidRPr="009A3ADE" w:rsidRDefault="00795C6D" w:rsidP="006A698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795C6D" w:rsidRPr="009A3ADE" w:rsidRDefault="00795C6D" w:rsidP="006A6984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5C6D" w:rsidRPr="009956C4" w:rsidRDefault="00795C6D" w:rsidP="006A6984">
            <w:pPr>
              <w:rPr>
                <w:rFonts w:ascii="Arial" w:hAnsi="Arial" w:cs="Arial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C6D" w:rsidRPr="009956C4" w:rsidTr="006A6984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402294" w:rsidRDefault="00795C6D" w:rsidP="006A698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C6D" w:rsidRPr="009956C4" w:rsidTr="006A698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95C6D" w:rsidRPr="009956C4" w:rsidTr="006A6984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95C6D" w:rsidRPr="009956C4" w:rsidRDefault="00795C6D" w:rsidP="006A698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795C6D" w:rsidRDefault="00795C6D" w:rsidP="00795C6D">
      <w:pPr>
        <w:jc w:val="center"/>
        <w:rPr>
          <w:rFonts w:cs="Arial"/>
          <w:b/>
          <w:sz w:val="18"/>
          <w:szCs w:val="18"/>
          <w:lang w:val="es-BO"/>
        </w:rPr>
      </w:pPr>
    </w:p>
    <w:p w:rsidR="00795C6D" w:rsidRDefault="00795C6D" w:rsidP="00795C6D">
      <w:pPr>
        <w:pStyle w:val="Ttulo1"/>
        <w:numPr>
          <w:ilvl w:val="0"/>
          <w:numId w:val="0"/>
        </w:numPr>
        <w:ind w:left="2344" w:hanging="3337"/>
        <w:rPr>
          <w:rFonts w:ascii="Verdana" w:hAnsi="Verdana" w:cs="Arial"/>
          <w:sz w:val="18"/>
          <w:szCs w:val="18"/>
          <w:u w:val="none"/>
          <w:lang w:val="es-BO"/>
        </w:rPr>
      </w:pPr>
      <w:bookmarkStart w:id="4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795C6D" w:rsidRPr="00B86F22" w:rsidRDefault="00795C6D" w:rsidP="00795C6D">
      <w:pPr>
        <w:rPr>
          <w:lang w:val="es-BO"/>
        </w:rPr>
      </w:pPr>
    </w:p>
    <w:tbl>
      <w:tblPr>
        <w:tblW w:w="10208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8"/>
      </w:tblGrid>
      <w:tr w:rsidR="00795C6D" w:rsidRPr="009956C4" w:rsidTr="00795C6D">
        <w:trPr>
          <w:trHeight w:val="2511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C6D" w:rsidRPr="009956C4" w:rsidRDefault="00795C6D" w:rsidP="006A698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95C6D" w:rsidRPr="009956C4" w:rsidRDefault="00795C6D" w:rsidP="006A6984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95C6D" w:rsidRPr="009956C4" w:rsidRDefault="00795C6D" w:rsidP="006A6984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795C6D" w:rsidRPr="009956C4" w:rsidRDefault="00795C6D" w:rsidP="006A6984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95C6D" w:rsidRPr="009956C4" w:rsidRDefault="00795C6D" w:rsidP="006A698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795C6D" w:rsidRPr="009956C4" w:rsidRDefault="00795C6D" w:rsidP="006A6984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95C6D" w:rsidRPr="009956C4" w:rsidRDefault="00795C6D" w:rsidP="006A6984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95C6D" w:rsidRPr="009956C4" w:rsidRDefault="00795C6D" w:rsidP="006A698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795C6D" w:rsidRPr="009956C4" w:rsidRDefault="00795C6D" w:rsidP="00795C6D">
      <w:pPr>
        <w:jc w:val="right"/>
        <w:rPr>
          <w:rFonts w:ascii="Arial" w:hAnsi="Arial" w:cs="Arial"/>
          <w:lang w:val="es-BO"/>
        </w:rPr>
      </w:pPr>
    </w:p>
    <w:p w:rsidR="00795C6D" w:rsidRDefault="00795C6D" w:rsidP="00795C6D">
      <w:pPr>
        <w:ind w:left="-993"/>
        <w:rPr>
          <w:rFonts w:cs="Arial"/>
          <w:sz w:val="18"/>
          <w:szCs w:val="18"/>
          <w:lang w:val="es-BO"/>
        </w:rPr>
      </w:pPr>
    </w:p>
    <w:p w:rsidR="00795C6D" w:rsidRDefault="00795C6D" w:rsidP="00795C6D">
      <w:pPr>
        <w:ind w:left="-993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95C6D" w:rsidRPr="009956C4" w:rsidRDefault="00795C6D" w:rsidP="00795C6D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3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795C6D" w:rsidRPr="009956C4" w:rsidTr="00795C6D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95C6D" w:rsidRPr="009956C4" w:rsidTr="00795C6D">
        <w:trPr>
          <w:trHeight w:val="130"/>
        </w:trPr>
        <w:tc>
          <w:tcPr>
            <w:tcW w:w="14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53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16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8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273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DB467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B4674">
              <w:rPr>
                <w:rFonts w:ascii="Arial" w:hAnsi="Arial" w:cs="Arial"/>
                <w:b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95C6D" w:rsidRPr="009956C4" w:rsidTr="00795C6D">
        <w:trPr>
          <w:trHeight w:val="15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95C6D" w:rsidRPr="009956C4" w:rsidTr="00795C6D"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95C6D" w:rsidRPr="009956C4" w:rsidTr="00795C6D"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lastRenderedPageBreak/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lastRenderedPageBreak/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lastRenderedPageBreak/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lastRenderedPageBreak/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74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795C6D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6D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795C6D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73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53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9956C4" w:rsidTr="00795C6D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9956C4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9956C4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A244D6" w:rsidTr="00795C6D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795C6D" w:rsidRPr="00A244D6" w:rsidRDefault="00795C6D" w:rsidP="006A698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5C6D" w:rsidRPr="00A244D6" w:rsidTr="00795C6D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5C6D" w:rsidRPr="00A244D6" w:rsidRDefault="00795C6D" w:rsidP="006A698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5C6D" w:rsidRPr="00A244D6" w:rsidRDefault="00795C6D" w:rsidP="006A698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95C6D" w:rsidRPr="00A244D6" w:rsidTr="00795C6D">
        <w:tc>
          <w:tcPr>
            <w:tcW w:w="1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5C6D" w:rsidRPr="00A244D6" w:rsidRDefault="00795C6D" w:rsidP="006A698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5C6D" w:rsidRPr="00A244D6" w:rsidRDefault="00795C6D" w:rsidP="006A698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5C6D" w:rsidRPr="00A244D6" w:rsidRDefault="00795C6D" w:rsidP="006A698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5C6D" w:rsidRPr="00A244D6" w:rsidRDefault="00795C6D" w:rsidP="006A69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795C6D" w:rsidRDefault="00795C6D" w:rsidP="00795C6D">
      <w:pPr>
        <w:rPr>
          <w:rFonts w:cs="Arial"/>
          <w:i/>
          <w:sz w:val="14"/>
          <w:szCs w:val="18"/>
          <w:lang w:val="es-BO"/>
        </w:rPr>
      </w:pPr>
    </w:p>
    <w:p w:rsidR="00795C6D" w:rsidRPr="00A244D6" w:rsidRDefault="00795C6D" w:rsidP="00795C6D">
      <w:pPr>
        <w:ind w:left="-993" w:right="-1277"/>
        <w:jc w:val="both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95C6D" w:rsidRDefault="00795C6D" w:rsidP="00795C6D">
      <w:pPr>
        <w:ind w:left="-993" w:right="-1277"/>
        <w:jc w:val="both"/>
        <w:rPr>
          <w:rFonts w:cs="Arial"/>
          <w:i/>
          <w:sz w:val="14"/>
          <w:szCs w:val="18"/>
          <w:lang w:val="es-BO"/>
        </w:rPr>
      </w:pPr>
    </w:p>
    <w:p w:rsidR="00795C6D" w:rsidRPr="0077744B" w:rsidRDefault="00795C6D" w:rsidP="00795C6D">
      <w:pPr>
        <w:ind w:left="-709" w:right="-1277" w:hanging="284"/>
        <w:jc w:val="both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795C6D" w:rsidRDefault="00B84102">
      <w:pPr>
        <w:rPr>
          <w:lang w:val="es-BO"/>
        </w:rPr>
      </w:pPr>
    </w:p>
    <w:sectPr w:rsidR="00775B51" w:rsidRPr="00795C6D" w:rsidSect="00795C6D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891"/>
    <w:multiLevelType w:val="multilevel"/>
    <w:tmpl w:val="5D4247A8"/>
    <w:lvl w:ilvl="0">
      <w:start w:val="30"/>
      <w:numFmt w:val="decimal"/>
      <w:lvlText w:val="%1"/>
      <w:lvlJc w:val="left"/>
      <w:pPr>
        <w:ind w:left="420" w:hanging="42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 w:hint="default"/>
        <w:sz w:val="20"/>
      </w:r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>
    <w:nsid w:val="05B7678F"/>
    <w:multiLevelType w:val="multilevel"/>
    <w:tmpl w:val="3C8C3ADC"/>
    <w:lvl w:ilvl="0">
      <w:start w:val="30"/>
      <w:numFmt w:val="decimal"/>
      <w:lvlText w:val="%1"/>
      <w:lvlJc w:val="left"/>
      <w:pPr>
        <w:ind w:left="600" w:hanging="600"/>
      </w:pPr>
      <w:rPr>
        <w:rFonts w:ascii="Verdana" w:hAnsi="Verdana" w:cs="Arial" w:hint="default"/>
        <w:b/>
        <w:sz w:val="18"/>
      </w:rPr>
    </w:lvl>
    <w:lvl w:ilvl="1">
      <w:start w:val="30"/>
      <w:numFmt w:val="decimal"/>
      <w:lvlText w:val="%1.%2"/>
      <w:lvlJc w:val="left"/>
      <w:pPr>
        <w:ind w:left="1451" w:hanging="60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Verdana" w:hAnsi="Verdana" w:cs="Arial" w:hint="default"/>
        <w:b/>
        <w:sz w:val="18"/>
      </w:rPr>
    </w:lvl>
  </w:abstractNum>
  <w:abstractNum w:abstractNumId="4">
    <w:nsid w:val="06977E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7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1A9B568F"/>
    <w:multiLevelType w:val="hybridMultilevel"/>
    <w:tmpl w:val="9F3AFFEA"/>
    <w:lvl w:ilvl="0" w:tplc="393402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8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3BD921BA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6"/>
  </w:num>
  <w:num w:numId="5">
    <w:abstractNumId w:val="12"/>
  </w:num>
  <w:num w:numId="6">
    <w:abstractNumId w:val="35"/>
  </w:num>
  <w:num w:numId="7">
    <w:abstractNumId w:val="8"/>
  </w:num>
  <w:num w:numId="8">
    <w:abstractNumId w:val="6"/>
  </w:num>
  <w:num w:numId="9">
    <w:abstractNumId w:val="5"/>
  </w:num>
  <w:num w:numId="10">
    <w:abstractNumId w:val="28"/>
  </w:num>
  <w:num w:numId="11">
    <w:abstractNumId w:val="22"/>
  </w:num>
  <w:num w:numId="12">
    <w:abstractNumId w:val="26"/>
  </w:num>
  <w:num w:numId="13">
    <w:abstractNumId w:val="21"/>
  </w:num>
  <w:num w:numId="14">
    <w:abstractNumId w:val="10"/>
  </w:num>
  <w:num w:numId="15">
    <w:abstractNumId w:val="46"/>
  </w:num>
  <w:num w:numId="16">
    <w:abstractNumId w:val="7"/>
  </w:num>
  <w:num w:numId="17">
    <w:abstractNumId w:val="17"/>
  </w:num>
  <w:num w:numId="18">
    <w:abstractNumId w:val="23"/>
  </w:num>
  <w:num w:numId="19">
    <w:abstractNumId w:val="31"/>
  </w:num>
  <w:num w:numId="20">
    <w:abstractNumId w:val="45"/>
  </w:num>
  <w:num w:numId="21">
    <w:abstractNumId w:val="9"/>
  </w:num>
  <w:num w:numId="22">
    <w:abstractNumId w:val="13"/>
  </w:num>
  <w:num w:numId="23">
    <w:abstractNumId w:val="38"/>
  </w:num>
  <w:num w:numId="24">
    <w:abstractNumId w:val="1"/>
  </w:num>
  <w:num w:numId="25">
    <w:abstractNumId w:val="33"/>
  </w:num>
  <w:num w:numId="26">
    <w:abstractNumId w:val="15"/>
  </w:num>
  <w:num w:numId="27">
    <w:abstractNumId w:val="44"/>
  </w:num>
  <w:num w:numId="28">
    <w:abstractNumId w:val="47"/>
  </w:num>
  <w:num w:numId="29">
    <w:abstractNumId w:val="19"/>
  </w:num>
  <w:num w:numId="30">
    <w:abstractNumId w:val="37"/>
  </w:num>
  <w:num w:numId="31">
    <w:abstractNumId w:val="48"/>
  </w:num>
  <w:num w:numId="32">
    <w:abstractNumId w:val="34"/>
  </w:num>
  <w:num w:numId="33">
    <w:abstractNumId w:val="2"/>
  </w:num>
  <w:num w:numId="34">
    <w:abstractNumId w:val="16"/>
  </w:num>
  <w:num w:numId="35">
    <w:abstractNumId w:val="25"/>
  </w:num>
  <w:num w:numId="36">
    <w:abstractNumId w:val="24"/>
  </w:num>
  <w:num w:numId="37">
    <w:abstractNumId w:val="11"/>
  </w:num>
  <w:num w:numId="38">
    <w:abstractNumId w:val="43"/>
  </w:num>
  <w:num w:numId="39">
    <w:abstractNumId w:val="41"/>
  </w:num>
  <w:num w:numId="40">
    <w:abstractNumId w:val="27"/>
  </w:num>
  <w:num w:numId="41">
    <w:abstractNumId w:val="42"/>
  </w:num>
  <w:num w:numId="42">
    <w:abstractNumId w:val="40"/>
  </w:num>
  <w:num w:numId="43">
    <w:abstractNumId w:val="20"/>
  </w:num>
  <w:num w:numId="44">
    <w:abstractNumId w:val="32"/>
  </w:num>
  <w:num w:numId="45">
    <w:abstractNumId w:val="30"/>
  </w:num>
  <w:num w:numId="46">
    <w:abstractNumId w:val="18"/>
  </w:num>
  <w:num w:numId="47">
    <w:abstractNumId w:val="4"/>
  </w:num>
  <w:num w:numId="48">
    <w:abstractNumId w:val="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6D"/>
    <w:rsid w:val="006347C3"/>
    <w:rsid w:val="0063631F"/>
    <w:rsid w:val="00795C6D"/>
    <w:rsid w:val="00B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1874-4284-402A-95B7-114533D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6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95C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795C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795C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795C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95C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795C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95C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95C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95C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5C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95C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95C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95C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795C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95C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795C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95C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95C6D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795C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795C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795C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95C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95C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C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795C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C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795C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795C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99"/>
    <w:qFormat/>
    <w:rsid w:val="00795C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795C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95C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5C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95C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795C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95C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795C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5C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795C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5C6D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79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795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795C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95C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95C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795C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5C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95C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795C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95C6D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uiPriority w:val="10"/>
    <w:qFormat/>
    <w:rsid w:val="00795C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795C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795C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795C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95C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795C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5C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795C6D"/>
    <w:rPr>
      <w:vertAlign w:val="superscript"/>
    </w:rPr>
  </w:style>
  <w:style w:type="paragraph" w:customStyle="1" w:styleId="BodyText21">
    <w:name w:val="Body Text 21"/>
    <w:basedOn w:val="Normal"/>
    <w:rsid w:val="00795C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5C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5C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795C6D"/>
  </w:style>
  <w:style w:type="paragraph" w:customStyle="1" w:styleId="Document1">
    <w:name w:val="Document 1"/>
    <w:rsid w:val="00795C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795C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95C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95C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95C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795C6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95C6D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95C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795C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795C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795C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5C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95C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5C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95C6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795C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9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795C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95C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795C6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95C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795C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795C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95C6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95C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95C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95C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95C6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95C6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795C6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99"/>
    <w:qFormat/>
    <w:locked/>
    <w:rsid w:val="00795C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95C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95C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795C6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95C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95C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795C6D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95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95C6D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795C6D"/>
  </w:style>
  <w:style w:type="table" w:styleId="Tabladecuadrcula5oscura">
    <w:name w:val="Grid Table 5 Dark"/>
    <w:basedOn w:val="Tablanormal"/>
    <w:uiPriority w:val="50"/>
    <w:rsid w:val="00795C6D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795C6D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795C6D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795C6D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795C6D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795C6D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795C6D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795C6D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795C6D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2024-10-01T22:48:00Z</dcterms:created>
  <dcterms:modified xsi:type="dcterms:W3CDTF">2024-10-01T22:48:00Z</dcterms:modified>
</cp:coreProperties>
</file>