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E5" w:rsidRPr="009956C4" w:rsidRDefault="00691FE5" w:rsidP="00691FE5">
      <w:pPr>
        <w:jc w:val="center"/>
        <w:rPr>
          <w:rFonts w:cs="Arial"/>
          <w:b/>
          <w:sz w:val="4"/>
          <w:szCs w:val="18"/>
          <w:lang w:val="es-BO"/>
        </w:rPr>
      </w:pPr>
      <w:bookmarkStart w:id="0" w:name="_GoBack"/>
      <w:bookmarkEnd w:id="0"/>
    </w:p>
    <w:p w:rsidR="00691FE5" w:rsidRPr="009956C4" w:rsidRDefault="00691FE5" w:rsidP="00691FE5">
      <w:pPr>
        <w:jc w:val="both"/>
        <w:rPr>
          <w:rFonts w:cs="Arial"/>
          <w:sz w:val="2"/>
          <w:szCs w:val="18"/>
          <w:lang w:val="es-BO"/>
        </w:rPr>
      </w:pPr>
    </w:p>
    <w:p w:rsidR="00691FE5" w:rsidRPr="009956C4" w:rsidRDefault="00691FE5" w:rsidP="00691FE5">
      <w:pPr>
        <w:jc w:val="both"/>
        <w:rPr>
          <w:rFonts w:cs="Arial"/>
          <w:sz w:val="2"/>
          <w:szCs w:val="18"/>
          <w:lang w:val="es-BO"/>
        </w:rPr>
      </w:pPr>
    </w:p>
    <w:p w:rsidR="00691FE5" w:rsidRDefault="00691FE5" w:rsidP="00691FE5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 w:val="18"/>
          <w:szCs w:val="18"/>
          <w:u w:val="none"/>
          <w:lang w:val="es-BO"/>
        </w:rPr>
      </w:pPr>
      <w:bookmarkStart w:id="1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1"/>
    </w:p>
    <w:p w:rsidR="00691FE5" w:rsidRPr="005B660C" w:rsidRDefault="00691FE5" w:rsidP="00691FE5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691FE5" w:rsidRPr="009956C4" w:rsidTr="00E315F8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91FE5" w:rsidRPr="009956C4" w:rsidRDefault="00691FE5" w:rsidP="008664BB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691FE5">
              <w:rPr>
                <w:rFonts w:ascii="Arial" w:hAnsi="Arial" w:cs="Arial"/>
                <w:b/>
                <w:color w:val="FFFFFF" w:themeColor="background1"/>
                <w:sz w:val="18"/>
                <w:szCs w:val="16"/>
              </w:rPr>
              <w:t>DATOS DEL PROCESOS DE CONTRATACIÓN</w:t>
            </w:r>
          </w:p>
        </w:tc>
      </w:tr>
      <w:tr w:rsidR="00691FE5" w:rsidRPr="009956C4" w:rsidTr="00E315F8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b/>
                <w:sz w:val="14"/>
                <w:szCs w:val="2"/>
              </w:rPr>
            </w:pPr>
          </w:p>
        </w:tc>
      </w:tr>
      <w:tr w:rsidR="00691FE5" w:rsidRPr="009956C4" w:rsidTr="00E315F8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  <w:r w:rsidRPr="006B2A5B">
              <w:rPr>
                <w:rFonts w:ascii="Arial" w:hAnsi="Arial" w:cs="Arial"/>
                <w:sz w:val="18"/>
                <w:szCs w:val="18"/>
              </w:rPr>
              <w:t>EMPRESA NACIONAL DE ELECTRICIDAD</w:t>
            </w:r>
            <w:r>
              <w:rPr>
                <w:rFonts w:ascii="Arial" w:hAnsi="Arial" w:cs="Arial"/>
                <w:sz w:val="18"/>
                <w:szCs w:val="18"/>
              </w:rPr>
              <w:t xml:space="preserve">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</w:tr>
      <w:tr w:rsidR="00691FE5" w:rsidRPr="009956C4" w:rsidTr="00E315F8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</w:tr>
      <w:tr w:rsidR="00691FE5" w:rsidRPr="009956C4" w:rsidTr="00E315F8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2"/>
              </w:rPr>
            </w:pPr>
            <w:r w:rsidRPr="00A533D5">
              <w:rPr>
                <w:rFonts w:ascii="Arial" w:hAnsi="Arial" w:cs="Arial"/>
                <w:sz w:val="14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2"/>
              </w:rPr>
            </w:pPr>
            <w:r w:rsidRPr="00A533D5">
              <w:rPr>
                <w:rFonts w:ascii="Arial" w:hAnsi="Arial" w:cs="Arial"/>
                <w:sz w:val="14"/>
              </w:rPr>
              <w:t>ENDE-ANPE-2024-021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</w:tr>
      <w:tr w:rsidR="00691FE5" w:rsidRPr="009956C4" w:rsidTr="00E315F8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2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295"/>
        <w:gridCol w:w="295"/>
        <w:gridCol w:w="282"/>
        <w:gridCol w:w="295"/>
        <w:gridCol w:w="294"/>
        <w:gridCol w:w="294"/>
        <w:gridCol w:w="294"/>
        <w:gridCol w:w="276"/>
        <w:gridCol w:w="294"/>
        <w:gridCol w:w="294"/>
        <w:gridCol w:w="272"/>
        <w:gridCol w:w="269"/>
        <w:gridCol w:w="269"/>
        <w:gridCol w:w="269"/>
        <w:gridCol w:w="269"/>
        <w:gridCol w:w="269"/>
        <w:gridCol w:w="269"/>
        <w:gridCol w:w="269"/>
        <w:gridCol w:w="272"/>
        <w:gridCol w:w="294"/>
        <w:gridCol w:w="272"/>
        <w:gridCol w:w="294"/>
        <w:gridCol w:w="269"/>
        <w:gridCol w:w="811"/>
        <w:gridCol w:w="799"/>
        <w:gridCol w:w="269"/>
      </w:tblGrid>
      <w:tr w:rsidR="00691FE5" w:rsidRPr="009956C4" w:rsidTr="00E315F8">
        <w:trPr>
          <w:jc w:val="center"/>
        </w:trPr>
        <w:tc>
          <w:tcPr>
            <w:tcW w:w="210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311"/>
        <w:gridCol w:w="281"/>
        <w:gridCol w:w="282"/>
        <w:gridCol w:w="272"/>
        <w:gridCol w:w="277"/>
        <w:gridCol w:w="276"/>
        <w:gridCol w:w="274"/>
        <w:gridCol w:w="8"/>
        <w:gridCol w:w="267"/>
        <w:gridCol w:w="11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691FE5" w:rsidRPr="009956C4" w:rsidTr="00E315F8">
        <w:trPr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trHeight w:val="227"/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82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tabs>
                <w:tab w:val="left" w:pos="1634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ADQUISICIÓN DE RECONECTADOR TRIFÁSICOS DE 38 KV PARA EL SISTEMA AISLADO EL SENA – GESTIÓN 2024</w:t>
            </w:r>
            <w:r w:rsidRPr="009956C4">
              <w:rPr>
                <w:rFonts w:ascii="Arial" w:hAnsi="Arial" w:cs="Arial"/>
                <w:sz w:val="14"/>
              </w:rPr>
              <w:tab/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trHeight w:val="20"/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trHeight w:val="20"/>
          <w:jc w:val="center"/>
        </w:trPr>
        <w:tc>
          <w:tcPr>
            <w:tcW w:w="180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2224" w:type="dxa"/>
            <w:gridSpan w:val="10"/>
            <w:tcBorders>
              <w:lef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91FE5" w:rsidRPr="009956C4" w:rsidTr="00E315F8">
        <w:trPr>
          <w:trHeight w:val="20"/>
          <w:jc w:val="center"/>
        </w:trPr>
        <w:tc>
          <w:tcPr>
            <w:tcW w:w="1807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gridSpan w:val="2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691FE5" w:rsidRPr="009956C4" w:rsidTr="00E315F8">
        <w:trPr>
          <w:trHeight w:val="20"/>
          <w:jc w:val="center"/>
        </w:trPr>
        <w:tc>
          <w:tcPr>
            <w:tcW w:w="180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24" w:type="dxa"/>
            <w:gridSpan w:val="10"/>
            <w:tcBorders>
              <w:lef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6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91FE5" w:rsidRPr="009956C4" w:rsidTr="00E315F8">
        <w:trPr>
          <w:trHeight w:val="20"/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7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826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Default="00691FE5" w:rsidP="00E315F8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</w:p>
          <w:p w:rsidR="00691FE5" w:rsidRDefault="00691FE5" w:rsidP="00E315F8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1"/>
              <w:gridCol w:w="2638"/>
              <w:gridCol w:w="1101"/>
              <w:gridCol w:w="954"/>
              <w:gridCol w:w="1275"/>
              <w:gridCol w:w="1608"/>
            </w:tblGrid>
            <w:tr w:rsidR="00691FE5" w:rsidTr="00E315F8">
              <w:tc>
                <w:tcPr>
                  <w:tcW w:w="461" w:type="dxa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b/>
                      <w:bCs/>
                      <w:color w:val="000000"/>
                    </w:rPr>
                    <w:t>Nº</w:t>
                  </w:r>
                </w:p>
              </w:tc>
              <w:tc>
                <w:tcPr>
                  <w:tcW w:w="2638" w:type="dxa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CONCEPTO</w:t>
                  </w:r>
                </w:p>
              </w:tc>
              <w:tc>
                <w:tcPr>
                  <w:tcW w:w="1101" w:type="dxa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b/>
                      <w:bCs/>
                      <w:color w:val="000000"/>
                    </w:rPr>
                    <w:t>CANTIDAD</w:t>
                  </w:r>
                </w:p>
              </w:tc>
              <w:tc>
                <w:tcPr>
                  <w:tcW w:w="954" w:type="dxa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b/>
                      <w:bCs/>
                      <w:color w:val="000000"/>
                    </w:rPr>
                    <w:t>UNIDAD</w:t>
                  </w:r>
                </w:p>
              </w:tc>
              <w:tc>
                <w:tcPr>
                  <w:tcW w:w="1275" w:type="dxa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b/>
                      <w:bCs/>
                      <w:color w:val="000000"/>
                    </w:rPr>
                    <w:t>PRECIO REF. UNITARIO (BS.)</w:t>
                  </w:r>
                </w:p>
              </w:tc>
              <w:tc>
                <w:tcPr>
                  <w:tcW w:w="1608" w:type="dxa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PRECIO REFERENCIAL TOTAL </w:t>
                  </w:r>
                  <w:r w:rsidRPr="00C96D8C">
                    <w:rPr>
                      <w:rFonts w:ascii="Calibri" w:hAnsi="Calibri" w:cs="Calibri"/>
                      <w:b/>
                      <w:bCs/>
                      <w:color w:val="000000"/>
                    </w:rPr>
                    <w:br/>
                    <w:t>(BS.)</w:t>
                  </w:r>
                </w:p>
              </w:tc>
            </w:tr>
            <w:tr w:rsidR="00691FE5" w:rsidTr="00E315F8">
              <w:tc>
                <w:tcPr>
                  <w:tcW w:w="461" w:type="dxa"/>
                  <w:shd w:val="clear" w:color="auto" w:fill="FFFFFF" w:themeFill="background1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638" w:type="dxa"/>
                  <w:shd w:val="clear" w:color="auto" w:fill="FFFFFF" w:themeFill="background1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color w:val="000000"/>
                    </w:rPr>
                    <w:t>RECONECTADORES TRIFÁSICOS DE 38 KV y accesorios:</w:t>
                  </w:r>
                  <w:r w:rsidRPr="00C96D8C">
                    <w:rPr>
                      <w:rFonts w:ascii="Calibri" w:hAnsi="Calibri" w:cs="Calibri"/>
                      <w:color w:val="000000"/>
                    </w:rPr>
                    <w:br/>
                    <w:t>- Transformador de potencial.</w:t>
                  </w:r>
                  <w:r w:rsidRPr="00C96D8C">
                    <w:rPr>
                      <w:rFonts w:ascii="Calibri" w:hAnsi="Calibri" w:cs="Calibri"/>
                      <w:color w:val="000000"/>
                    </w:rPr>
                    <w:br/>
                    <w:t>- Módulo de comunicación para control remoto.</w:t>
                  </w:r>
                  <w:r w:rsidRPr="00C96D8C">
                    <w:rPr>
                      <w:rFonts w:ascii="Calibri" w:hAnsi="Calibri" w:cs="Calibri"/>
                      <w:color w:val="000000"/>
                    </w:rPr>
                    <w:br/>
                    <w:t>-Módulo de entradas y salidas.</w:t>
                  </w:r>
                </w:p>
              </w:tc>
              <w:tc>
                <w:tcPr>
                  <w:tcW w:w="1101" w:type="dxa"/>
                  <w:shd w:val="clear" w:color="auto" w:fill="FFFFFF" w:themeFill="background1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954" w:type="dxa"/>
                  <w:shd w:val="clear" w:color="auto" w:fill="FFFFFF" w:themeFill="background1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color w:val="000000"/>
                    </w:rPr>
                    <w:t>Pza.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color w:val="000000"/>
                    </w:rPr>
                    <w:t>221.400,00</w:t>
                  </w:r>
                </w:p>
              </w:tc>
              <w:tc>
                <w:tcPr>
                  <w:tcW w:w="1608" w:type="dxa"/>
                  <w:shd w:val="clear" w:color="auto" w:fill="FFFFFF" w:themeFill="background1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color w:val="000000"/>
                    </w:rPr>
                    <w:t>221.400,00</w:t>
                  </w:r>
                </w:p>
              </w:tc>
            </w:tr>
            <w:tr w:rsidR="00691FE5" w:rsidTr="00E315F8">
              <w:trPr>
                <w:trHeight w:val="339"/>
              </w:trPr>
              <w:tc>
                <w:tcPr>
                  <w:tcW w:w="6429" w:type="dxa"/>
                  <w:gridSpan w:val="5"/>
                  <w:shd w:val="clear" w:color="auto" w:fill="FFFFFF" w:themeFill="background1"/>
                  <w:vAlign w:val="center"/>
                </w:tcPr>
                <w:p w:rsidR="00691FE5" w:rsidRPr="00C96D8C" w:rsidRDefault="00691FE5" w:rsidP="00E315F8">
                  <w:pPr>
                    <w:jc w:val="right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b/>
                      <w:bCs/>
                      <w:color w:val="000000"/>
                    </w:rPr>
                    <w:t>PRECIO REFERENCIAL Bs.</w:t>
                  </w:r>
                </w:p>
              </w:tc>
              <w:tc>
                <w:tcPr>
                  <w:tcW w:w="1608" w:type="dxa"/>
                  <w:shd w:val="clear" w:color="auto" w:fill="FFFFFF" w:themeFill="background1"/>
                  <w:vAlign w:val="center"/>
                </w:tcPr>
                <w:p w:rsidR="00691FE5" w:rsidRPr="00C96D8C" w:rsidRDefault="00691FE5" w:rsidP="00E315F8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96D8C">
                    <w:rPr>
                      <w:rFonts w:ascii="Calibri" w:hAnsi="Calibri" w:cs="Calibri"/>
                      <w:b/>
                      <w:bCs/>
                      <w:color w:val="000000"/>
                    </w:rPr>
                    <w:t>221.400,00</w:t>
                  </w:r>
                </w:p>
              </w:tc>
            </w:tr>
          </w:tbl>
          <w:p w:rsidR="00691FE5" w:rsidRDefault="00691FE5" w:rsidP="00E315F8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</w:p>
          <w:p w:rsidR="00691FE5" w:rsidRPr="009956C4" w:rsidRDefault="00691FE5" w:rsidP="00E315F8">
            <w:pPr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trHeight w:val="240"/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  <w:r w:rsidRPr="00A013C4"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both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4383" w:type="dxa"/>
            <w:gridSpan w:val="17"/>
            <w:tcBorders>
              <w:left w:val="single" w:sz="4" w:space="0" w:color="auto"/>
            </w:tcBorders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826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17400C" w:rsidRDefault="00691FE5" w:rsidP="00E315F8">
            <w:pPr>
              <w:jc w:val="both"/>
              <w:rPr>
                <w:rFonts w:ascii="Arial" w:hAnsi="Arial" w:cs="Arial"/>
                <w:sz w:val="14"/>
              </w:rPr>
            </w:pPr>
            <w:r w:rsidRPr="0017400C">
              <w:rPr>
                <w:rFonts w:ascii="Arial" w:hAnsi="Arial" w:cs="Arial"/>
                <w:sz w:val="14"/>
              </w:rPr>
              <w:t>El plazo de entrega establecido para el presente proceso será de ciento cincuenta días (150) días calendario computable a partir del día siguiente hábil de la suscripción del contrato, pudiendo ofertar plazos menores de entrega.</w:t>
            </w:r>
          </w:p>
          <w:p w:rsidR="00691FE5" w:rsidRPr="009956C4" w:rsidRDefault="00691FE5" w:rsidP="00E315F8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  <w:r w:rsidRPr="0017400C">
              <w:rPr>
                <w:rFonts w:ascii="Arial" w:hAnsi="Arial" w:cs="Arial"/>
                <w:sz w:val="14"/>
              </w:rPr>
              <w:t>El retraso en la entrega de los bienes adjudicados, que no justifique causal de fuerza mayor o caso fortuito, será penalizado con una multa a establecerse en el Contrato.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Garantía de Cumplimiento </w:t>
            </w:r>
          </w:p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de Contrato</w:t>
            </w:r>
          </w:p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</w:p>
        </w:tc>
        <w:tc>
          <w:tcPr>
            <w:tcW w:w="826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17400C" w:rsidRDefault="00691FE5" w:rsidP="00E315F8">
            <w:pPr>
              <w:jc w:val="both"/>
              <w:rPr>
                <w:rFonts w:ascii="Arial" w:hAnsi="Arial" w:cs="Arial"/>
                <w:sz w:val="14"/>
              </w:rPr>
            </w:pPr>
            <w:r w:rsidRPr="0017400C">
              <w:rPr>
                <w:rFonts w:ascii="Arial" w:hAnsi="Arial" w:cs="Arial"/>
                <w:sz w:val="14"/>
              </w:rPr>
              <w:t xml:space="preserve">Para la suscripción de contrato de acuerdo con lo establecido en el Parágrafo II del Artículo 20 de las NB-SABS, el proponente decidirá el tipo de garantía a presentar entre ellos: </w:t>
            </w:r>
          </w:p>
          <w:p w:rsidR="00691FE5" w:rsidRPr="0017400C" w:rsidRDefault="00691FE5" w:rsidP="00E315F8">
            <w:pPr>
              <w:jc w:val="both"/>
              <w:rPr>
                <w:rFonts w:ascii="Arial" w:hAnsi="Arial" w:cs="Arial"/>
                <w:sz w:val="14"/>
              </w:rPr>
            </w:pPr>
            <w:r w:rsidRPr="0017400C">
              <w:rPr>
                <w:rFonts w:ascii="Arial" w:hAnsi="Arial" w:cs="Arial"/>
                <w:sz w:val="14"/>
              </w:rPr>
              <w:t>Boleta de Garantía, Garantía a Primer Requerimiento o Póliza de Seguro de Caución a Primer Requerimiento; todos con la característica de renovable, irrevocable y de ejecución inmediata, con el objeto garantizar la conclusión y entrega del objeto de contrato.</w:t>
            </w:r>
          </w:p>
          <w:p w:rsidR="00691FE5" w:rsidRPr="0017400C" w:rsidRDefault="00691FE5" w:rsidP="00E315F8">
            <w:pPr>
              <w:jc w:val="both"/>
              <w:rPr>
                <w:rFonts w:ascii="Arial" w:hAnsi="Arial" w:cs="Arial"/>
                <w:sz w:val="14"/>
              </w:rPr>
            </w:pPr>
            <w:r w:rsidRPr="0017400C">
              <w:rPr>
                <w:rFonts w:ascii="Arial" w:hAnsi="Arial" w:cs="Arial"/>
                <w:sz w:val="14"/>
              </w:rPr>
              <w:t>Cumpliendo el Artículo 21 inciso b) Garantía de Cumplimento de Contrato   será equivalente al siete por ciento (7%)  del monto del contrato;   las Micro y Pequeñas Empresas, Asociaciones de Pequeños Productores Urbanos y Rurales y Organizaciones Económicas Campesinas presentarán una Garantía de Cumplimiento de Contrato por un monto equivalente al tres punto cinco por ciento (3.5%) del valor del contrato.</w:t>
            </w:r>
          </w:p>
          <w:p w:rsidR="00691FE5" w:rsidRDefault="00691FE5" w:rsidP="00E315F8">
            <w:pPr>
              <w:jc w:val="both"/>
              <w:rPr>
                <w:rFonts w:ascii="Arial" w:hAnsi="Arial" w:cs="Arial"/>
                <w:sz w:val="14"/>
              </w:rPr>
            </w:pPr>
            <w:r w:rsidRPr="0017400C">
              <w:rPr>
                <w:rFonts w:ascii="Arial" w:hAnsi="Arial" w:cs="Arial"/>
                <w:sz w:val="14"/>
              </w:rPr>
              <w:t>La vigencia de la garantía será computable a partir de la firma del contrato hasta la recepción definitiva del bien.</w:t>
            </w:r>
          </w:p>
          <w:p w:rsidR="00691FE5" w:rsidRPr="009956C4" w:rsidRDefault="00691FE5" w:rsidP="00E315F8">
            <w:pPr>
              <w:jc w:val="both"/>
              <w:rPr>
                <w:rFonts w:ascii="Arial" w:hAnsi="Arial" w:cs="Arial"/>
                <w:b/>
                <w:i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6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807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91FE5" w:rsidRPr="009956C4" w:rsidTr="00E315F8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691FE5" w:rsidRPr="00156685" w:rsidRDefault="00691FE5" w:rsidP="00E315F8">
            <w:pPr>
              <w:rPr>
                <w:rFonts w:ascii="Arial" w:hAnsi="Arial" w:cs="Arial"/>
                <w:sz w:val="14"/>
                <w:szCs w:val="14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</w:rPr>
              <w:t>C</w:t>
            </w:r>
            <w:r w:rsidRPr="009956C4">
              <w:rPr>
                <w:rFonts w:ascii="Arial" w:hAnsi="Arial" w:cs="Arial"/>
                <w:sz w:val="12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jc w:val="both"/>
              <w:rPr>
                <w:rFonts w:ascii="Arial" w:hAnsi="Arial" w:cs="Arial"/>
                <w:sz w:val="14"/>
              </w:rPr>
            </w:pPr>
            <w:r w:rsidRPr="00156685">
              <w:rPr>
                <w:rFonts w:ascii="Arial" w:hAnsi="Arial" w:cs="Arial"/>
                <w:sz w:val="14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691FE5" w:rsidRPr="009956C4" w:rsidTr="00E315F8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691FE5" w:rsidRPr="009956C4" w:rsidRDefault="00691FE5" w:rsidP="00E315F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238" w:type="dxa"/>
            <w:gridSpan w:val="20"/>
            <w:vMerge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vMerge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4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91FE5" w:rsidRPr="009956C4" w:rsidTr="00E315F8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91FE5" w:rsidRPr="009956C4" w:rsidRDefault="00691FE5" w:rsidP="008664BB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691FE5">
              <w:rPr>
                <w:rFonts w:ascii="Arial" w:hAnsi="Arial" w:cs="Arial"/>
                <w:b/>
                <w:color w:val="FFFFFF" w:themeColor="background1"/>
                <w:sz w:val="18"/>
                <w:szCs w:val="16"/>
              </w:rPr>
              <w:t>INFORMACIÓN DEL DOCUMENTO BASE DE CONTRATACIÓN (DBC</w:t>
            </w:r>
            <w:r w:rsidRPr="00691F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). </w:t>
            </w:r>
            <w:r w:rsidRPr="00691FE5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91FE5" w:rsidRPr="009956C4" w:rsidTr="00E315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91FE5" w:rsidRPr="00691FE5" w:rsidTr="00E315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</w:rPr>
            </w:pPr>
            <w:r w:rsidRPr="000A6B8C">
              <w:rPr>
                <w:rFonts w:ascii="Arial" w:hAnsi="Arial" w:cs="Arial"/>
              </w:rPr>
              <w:t xml:space="preserve">CALLE COLOMBIA Nº </w:t>
            </w:r>
            <w:r>
              <w:rPr>
                <w:rFonts w:ascii="Arial" w:hAnsi="Arial" w:cs="Arial"/>
              </w:rPr>
              <w:t>O</w:t>
            </w:r>
            <w:r w:rsidRPr="000A6B8C">
              <w:rPr>
                <w:rFonts w:ascii="Arial" w:hAnsi="Arial" w:cs="Arial"/>
              </w:rPr>
              <w:t>655</w:t>
            </w:r>
            <w:r>
              <w:rPr>
                <w:rFonts w:ascii="Arial" w:hAnsi="Arial" w:cs="Arial"/>
              </w:rPr>
              <w:t xml:space="preserve">  - COCHABAMBA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D839CD" w:rsidRDefault="00691FE5" w:rsidP="00E315F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839CD">
              <w:rPr>
                <w:rFonts w:ascii="Arial" w:hAnsi="Arial" w:cs="Arial"/>
                <w:sz w:val="14"/>
                <w:szCs w:val="14"/>
                <w:lang w:val="en-US"/>
              </w:rPr>
              <w:t>08:30 a.m. a 12:30 p.m.</w:t>
            </w:r>
          </w:p>
          <w:p w:rsidR="00691FE5" w:rsidRPr="00D839CD" w:rsidRDefault="00691FE5" w:rsidP="00E315F8">
            <w:pPr>
              <w:jc w:val="center"/>
              <w:rPr>
                <w:rFonts w:ascii="Arial" w:hAnsi="Arial" w:cs="Arial"/>
                <w:lang w:val="en-US"/>
              </w:rPr>
            </w:pPr>
            <w:r w:rsidRPr="00D839CD">
              <w:rPr>
                <w:rFonts w:ascii="Arial" w:hAnsi="Arial" w:cs="Arial"/>
                <w:sz w:val="14"/>
                <w:szCs w:val="14"/>
                <w:lang w:val="en-US"/>
              </w:rPr>
              <w:t>14:30 p.m. a 18:30 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D839CD" w:rsidRDefault="00691FE5" w:rsidP="00E315F8">
            <w:pPr>
              <w:rPr>
                <w:rFonts w:ascii="Arial" w:hAnsi="Arial" w:cs="Arial"/>
                <w:lang w:val="en-US"/>
              </w:rPr>
            </w:pPr>
          </w:p>
        </w:tc>
      </w:tr>
      <w:tr w:rsidR="00691FE5" w:rsidRPr="00691FE5" w:rsidTr="00E315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D839CD" w:rsidRDefault="00691FE5" w:rsidP="00E315F8">
            <w:pPr>
              <w:jc w:val="right"/>
              <w:rPr>
                <w:rFonts w:ascii="Arial" w:hAnsi="Arial" w:cs="Arial"/>
                <w:b/>
                <w:sz w:val="8"/>
                <w:szCs w:val="2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1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2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2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6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81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D839CD" w:rsidRDefault="00691FE5" w:rsidP="00E315F8">
            <w:pPr>
              <w:rPr>
                <w:rFonts w:ascii="Arial" w:hAnsi="Arial" w:cs="Arial"/>
                <w:sz w:val="8"/>
                <w:szCs w:val="2"/>
                <w:lang w:val="en-US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91FE5" w:rsidRPr="00D839CD" w:rsidRDefault="00691FE5" w:rsidP="00E315F8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n-US"/>
              </w:rPr>
            </w:pPr>
          </w:p>
        </w:tc>
        <w:tc>
          <w:tcPr>
            <w:tcW w:w="283" w:type="dxa"/>
          </w:tcPr>
          <w:p w:rsidR="00691FE5" w:rsidRPr="00D839CD" w:rsidRDefault="00691FE5" w:rsidP="00E315F8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281" w:type="dxa"/>
          </w:tcPr>
          <w:p w:rsidR="00691FE5" w:rsidRPr="00D839CD" w:rsidRDefault="00691FE5" w:rsidP="00E315F8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282" w:type="dxa"/>
          </w:tcPr>
          <w:p w:rsidR="00691FE5" w:rsidRPr="00D839CD" w:rsidRDefault="00691FE5" w:rsidP="00E315F8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272" w:type="dxa"/>
          </w:tcPr>
          <w:p w:rsidR="00691FE5" w:rsidRPr="00D839CD" w:rsidRDefault="00691FE5" w:rsidP="00E315F8">
            <w:pPr>
              <w:rPr>
                <w:rFonts w:ascii="Arial" w:hAnsi="Arial" w:cs="Arial"/>
                <w:sz w:val="10"/>
                <w:szCs w:val="8"/>
                <w:lang w:val="en-US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4" w:type="dxa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74" w:type="dxa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Angelica Zambrana M.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159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4520317- </w:t>
            </w:r>
            <w:proofErr w:type="spellStart"/>
            <w:r>
              <w:rPr>
                <w:rFonts w:ascii="Arial" w:hAnsi="Arial" w:cs="Arial"/>
              </w:rPr>
              <w:t>Int</w:t>
            </w:r>
            <w:proofErr w:type="spellEnd"/>
            <w:r>
              <w:rPr>
                <w:rFonts w:ascii="Arial" w:hAnsi="Arial" w:cs="Arial"/>
              </w:rPr>
              <w:t>. 1278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angelica.zambrana</w:t>
            </w:r>
            <w:r w:rsidRPr="007D4F41">
              <w:rPr>
                <w:rFonts w:ascii="Arial" w:hAnsi="Arial" w:cs="Arial"/>
              </w:rPr>
              <w:t>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91FE5" w:rsidRPr="009956C4" w:rsidRDefault="00691FE5" w:rsidP="00E315F8">
            <w:pPr>
              <w:rPr>
                <w:rFonts w:ascii="Arial" w:hAnsi="Arial" w:cs="Arial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91FE5" w:rsidRPr="009956C4" w:rsidTr="00E315F8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402294" w:rsidRDefault="00691FE5" w:rsidP="00E315F8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</w:rPr>
              <w:t xml:space="preserve">Cuenta Corriente Fiscal para Depósito por concepto de </w:t>
            </w:r>
            <w:r w:rsidRPr="009956C4">
              <w:rPr>
                <w:rFonts w:ascii="Arial" w:hAnsi="Arial" w:cs="Arial"/>
              </w:rPr>
              <w:lastRenderedPageBreak/>
              <w:t>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jc w:val="both"/>
              <w:rPr>
                <w:rFonts w:ascii="Arial" w:hAnsi="Arial" w:cs="Arial"/>
                <w:sz w:val="8"/>
                <w:szCs w:val="2"/>
              </w:rPr>
            </w:pPr>
            <w:r>
              <w:rPr>
                <w:rFonts w:ascii="Arial" w:hAnsi="Arial" w:cs="Arial"/>
              </w:rPr>
              <w:lastRenderedPageBreak/>
              <w:t>NO  APLICA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91FE5" w:rsidRPr="009956C4" w:rsidTr="00E315F8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691FE5" w:rsidRPr="009956C4" w:rsidTr="00E315F8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691FE5" w:rsidRPr="009956C4" w:rsidRDefault="00691FE5" w:rsidP="00E315F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691FE5" w:rsidRPr="009956C4" w:rsidRDefault="00691FE5" w:rsidP="00691FE5">
      <w:pPr>
        <w:rPr>
          <w:lang w:val="es-BO"/>
        </w:rPr>
      </w:pPr>
    </w:p>
    <w:p w:rsidR="00691FE5" w:rsidRDefault="00691FE5" w:rsidP="00691FE5">
      <w:pPr>
        <w:pStyle w:val="Ttulo1"/>
        <w:numPr>
          <w:ilvl w:val="0"/>
          <w:numId w:val="0"/>
        </w:numPr>
        <w:ind w:left="567"/>
        <w:rPr>
          <w:rFonts w:cs="Arial"/>
          <w:sz w:val="18"/>
          <w:szCs w:val="18"/>
          <w:lang w:val="es-BO"/>
        </w:rPr>
      </w:pPr>
    </w:p>
    <w:p w:rsidR="00691FE5" w:rsidRPr="009956C4" w:rsidRDefault="00691FE5" w:rsidP="00691FE5">
      <w:pPr>
        <w:pStyle w:val="Ttulo1"/>
        <w:numPr>
          <w:ilvl w:val="0"/>
          <w:numId w:val="0"/>
        </w:numPr>
        <w:rPr>
          <w:rFonts w:cs="Arial"/>
          <w:sz w:val="18"/>
          <w:szCs w:val="18"/>
          <w:lang w:val="es-BO"/>
        </w:rPr>
      </w:pPr>
      <w:bookmarkStart w:id="2" w:name="_Toc94726526"/>
      <w:r>
        <w:rPr>
          <w:rFonts w:ascii="Verdana" w:hAnsi="Verdana" w:cs="Arial"/>
          <w:sz w:val="18"/>
          <w:szCs w:val="18"/>
          <w:u w:val="none"/>
          <w:lang w:val="es-BO"/>
        </w:rPr>
        <w:t xml:space="preserve">                                  </w:t>
      </w:r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2"/>
    </w:p>
    <w:p w:rsidR="00691FE5" w:rsidRPr="009956C4" w:rsidRDefault="00691FE5" w:rsidP="00691FE5">
      <w:pPr>
        <w:rPr>
          <w:lang w:val="es-BO"/>
        </w:rPr>
      </w:pPr>
    </w:p>
    <w:tbl>
      <w:tblPr>
        <w:tblW w:w="10491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691FE5" w:rsidRPr="009956C4" w:rsidTr="00691FE5">
        <w:trPr>
          <w:trHeight w:val="2511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1FE5" w:rsidRPr="009956C4" w:rsidRDefault="00691FE5" w:rsidP="00E315F8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691FE5" w:rsidRPr="009956C4" w:rsidRDefault="00691FE5" w:rsidP="008664BB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691FE5" w:rsidRPr="009956C4" w:rsidRDefault="00691FE5" w:rsidP="008664BB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691FE5" w:rsidRPr="009956C4" w:rsidRDefault="00691FE5" w:rsidP="008664BB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691FE5" w:rsidRPr="009956C4" w:rsidRDefault="00691FE5" w:rsidP="00E315F8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691FE5" w:rsidRPr="009956C4" w:rsidRDefault="00691FE5" w:rsidP="008664BB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691FE5" w:rsidRPr="009956C4" w:rsidRDefault="00691FE5" w:rsidP="008664BB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691FE5" w:rsidRPr="009956C4" w:rsidRDefault="00691FE5" w:rsidP="00E315F8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691FE5" w:rsidRPr="009956C4" w:rsidRDefault="00691FE5" w:rsidP="00691FE5">
      <w:pPr>
        <w:rPr>
          <w:rFonts w:ascii="Arial" w:hAnsi="Arial" w:cs="Arial"/>
          <w:lang w:val="es-BO"/>
        </w:rPr>
      </w:pPr>
    </w:p>
    <w:p w:rsidR="00691FE5" w:rsidRDefault="00691FE5" w:rsidP="00691FE5">
      <w:pPr>
        <w:ind w:hanging="993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691FE5" w:rsidRPr="009956C4" w:rsidRDefault="00691FE5" w:rsidP="00691FE5">
      <w:pPr>
        <w:ind w:firstLine="709"/>
        <w:rPr>
          <w:rFonts w:cs="Arial"/>
          <w:sz w:val="18"/>
          <w:szCs w:val="18"/>
          <w:lang w:val="es-BO"/>
        </w:rPr>
      </w:pPr>
    </w:p>
    <w:p w:rsidR="00691FE5" w:rsidRPr="009956C4" w:rsidRDefault="00691FE5" w:rsidP="00691FE5">
      <w:pPr>
        <w:jc w:val="right"/>
        <w:rPr>
          <w:rFonts w:ascii="Arial" w:hAnsi="Arial" w:cs="Arial"/>
          <w:lang w:val="es-BO"/>
        </w:rPr>
      </w:pPr>
    </w:p>
    <w:tbl>
      <w:tblPr>
        <w:tblW w:w="1091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539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246"/>
        <w:gridCol w:w="142"/>
      </w:tblGrid>
      <w:tr w:rsidR="00691FE5" w:rsidRPr="009956C4" w:rsidTr="00691FE5">
        <w:trPr>
          <w:trHeight w:val="397"/>
        </w:trPr>
        <w:tc>
          <w:tcPr>
            <w:tcW w:w="50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691FE5" w:rsidRPr="009956C4" w:rsidTr="00691FE5">
        <w:trPr>
          <w:trHeight w:val="130"/>
        </w:trPr>
        <w:tc>
          <w:tcPr>
            <w:tcW w:w="426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467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91FE5" w:rsidRPr="009956C4" w:rsidTr="00691FE5">
        <w:trPr>
          <w:trHeight w:val="53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91FE5" w:rsidRPr="009956C4" w:rsidTr="00691FE5">
        <w:trPr>
          <w:trHeight w:val="116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91FE5" w:rsidRPr="009956C4" w:rsidTr="00691FE5">
        <w:trPr>
          <w:trHeight w:val="180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91FE5" w:rsidRPr="009956C4" w:rsidTr="00691FE5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3942ED">
              <w:rPr>
                <w:rFonts w:ascii="Arial" w:hAnsi="Arial" w:cs="Arial"/>
                <w:sz w:val="14"/>
                <w:lang w:val="es-BO"/>
              </w:rPr>
              <w:t>Plataforma RUPE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9956C4" w:rsidTr="00691FE5"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4539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91FE5" w:rsidRPr="009956C4" w:rsidTr="00691FE5">
        <w:trPr>
          <w:trHeight w:val="150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39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9956C4" w:rsidTr="00691FE5"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4539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91FE5" w:rsidRPr="009956C4" w:rsidTr="00691FE5"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39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Calle Colombia esquina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Nº 0655 (Sala de ende) o mediante el enlace: https://ende.webex.com/meet/ende.sala5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91FE5" w:rsidRPr="009956C4" w:rsidTr="00691FE5"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39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9956C4" w:rsidTr="00691FE5">
        <w:trPr>
          <w:trHeight w:val="74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91FE5" w:rsidRPr="009956C4" w:rsidTr="00691FE5">
        <w:trPr>
          <w:trHeight w:val="173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9956C4" w:rsidTr="00691FE5">
        <w:trPr>
          <w:trHeight w:val="53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91FE5" w:rsidRPr="009956C4" w:rsidTr="00691FE5">
        <w:trPr>
          <w:trHeight w:val="190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9956C4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9956C4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A244D6" w:rsidTr="00691FE5">
        <w:trPr>
          <w:trHeight w:val="190"/>
        </w:trPr>
        <w:tc>
          <w:tcPr>
            <w:tcW w:w="4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91FE5" w:rsidRPr="00A244D6" w:rsidRDefault="00691FE5" w:rsidP="00E315F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:rsidR="00691FE5" w:rsidRPr="00A244D6" w:rsidRDefault="00691FE5" w:rsidP="00E315F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691FE5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691FE5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691FE5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91FE5" w:rsidRPr="00A244D6" w:rsidTr="00691FE5">
        <w:trPr>
          <w:trHeight w:val="190"/>
        </w:trPr>
        <w:tc>
          <w:tcPr>
            <w:tcW w:w="4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91FE5" w:rsidRPr="00A244D6" w:rsidRDefault="00691FE5" w:rsidP="00E315F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91FE5" w:rsidRPr="00A244D6" w:rsidRDefault="00691FE5" w:rsidP="00E315F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91FE5" w:rsidRPr="00A244D6" w:rsidTr="00691FE5"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91FE5" w:rsidRPr="00A244D6" w:rsidRDefault="00691FE5" w:rsidP="00E315F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91FE5" w:rsidRPr="00A244D6" w:rsidRDefault="00691FE5" w:rsidP="00E315F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91FE5" w:rsidRPr="00A244D6" w:rsidRDefault="00691FE5" w:rsidP="00E315F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91FE5" w:rsidRPr="00A244D6" w:rsidRDefault="00691FE5" w:rsidP="00E315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691FE5" w:rsidRPr="00A244D6" w:rsidRDefault="00691FE5" w:rsidP="008664BB">
      <w:pPr>
        <w:ind w:left="-993" w:right="-1419"/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691FE5" w:rsidRPr="0077744B" w:rsidRDefault="00691FE5" w:rsidP="008664BB">
      <w:pPr>
        <w:ind w:left="-993" w:right="-1419"/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775B51" w:rsidRPr="00691FE5" w:rsidRDefault="00700A27">
      <w:pPr>
        <w:rPr>
          <w:lang w:val="es-BO"/>
        </w:rPr>
      </w:pPr>
    </w:p>
    <w:sectPr w:rsidR="00775B51" w:rsidRPr="00691FE5" w:rsidSect="00691FE5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E5"/>
    <w:rsid w:val="006347C3"/>
    <w:rsid w:val="0063631F"/>
    <w:rsid w:val="00691FE5"/>
    <w:rsid w:val="00700A27"/>
    <w:rsid w:val="0086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69D8F-4F87-418A-9D94-3DBD66F0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FE5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91FE5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691FE5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691FE5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691FE5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691FE5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691FE5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691FE5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691FE5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691FE5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FE5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91FE5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91FE5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691FE5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691FE5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691FE5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691FE5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691FE5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691FE5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691FE5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691FE5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691FE5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691FE5"/>
    <w:rPr>
      <w:color w:val="0000FF"/>
      <w:u w:val="single"/>
    </w:rPr>
  </w:style>
  <w:style w:type="paragraph" w:styleId="Encabezado">
    <w:name w:val="header"/>
    <w:basedOn w:val="Normal"/>
    <w:link w:val="EncabezadoCar"/>
    <w:rsid w:val="00691F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91FE5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691F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FE5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691FE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691FE5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"/>
    <w:basedOn w:val="Normal"/>
    <w:link w:val="PrrafodelistaCar"/>
    <w:uiPriority w:val="34"/>
    <w:qFormat/>
    <w:rsid w:val="00691FE5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691FE5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691FE5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691FE5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691FE5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691FE5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691FE5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691FE5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691FE5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691FE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1FE5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59"/>
    <w:rsid w:val="0069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91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691FE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91FE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91FE5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691FE5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691FE5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691FE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691FE5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691FE5"/>
    <w:rPr>
      <w:rFonts w:ascii="Times New Roman" w:eastAsia="Times New Roman" w:hAnsi="Times New Roman" w:cs="Times New Roman"/>
      <w:sz w:val="20"/>
      <w:szCs w:val="20"/>
    </w:rPr>
  </w:style>
  <w:style w:type="paragraph" w:styleId="Puesto">
    <w:name w:val="Title"/>
    <w:basedOn w:val="Normal"/>
    <w:link w:val="PuestoCar"/>
    <w:qFormat/>
    <w:rsid w:val="00691FE5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691FE5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691FE5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691FE5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691FE5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691FE5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691FE5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691FE5"/>
    <w:rPr>
      <w:vertAlign w:val="superscript"/>
    </w:rPr>
  </w:style>
  <w:style w:type="paragraph" w:customStyle="1" w:styleId="BodyText21">
    <w:name w:val="Body Text 21"/>
    <w:basedOn w:val="Normal"/>
    <w:rsid w:val="00691FE5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691FE5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691FE5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691FE5"/>
  </w:style>
  <w:style w:type="paragraph" w:customStyle="1" w:styleId="Document1">
    <w:name w:val="Document 1"/>
    <w:rsid w:val="00691FE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691FE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91FE5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691FE5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91FE5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691FE5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691FE5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691FE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691FE5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691FE5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691FE5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691FE5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691FE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691FE5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691FE5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691FE5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69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691FE5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91FE5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691FE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91FE5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691FE5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691FE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691FE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691F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691FE5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691FE5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691FE5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691FE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691FE5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Number Bullets Car,viñeta Car,fuente Car,Capítulo Car,Párrafo N 1 Car,titulo 5 Car"/>
    <w:link w:val="Prrafodelista"/>
    <w:uiPriority w:val="34"/>
    <w:locked/>
    <w:rsid w:val="00691FE5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91FE5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1FE5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691FE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691FE5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91FE5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1242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2</cp:revision>
  <dcterms:created xsi:type="dcterms:W3CDTF">2024-05-15T16:10:00Z</dcterms:created>
  <dcterms:modified xsi:type="dcterms:W3CDTF">2024-05-15T16:10:00Z</dcterms:modified>
</cp:coreProperties>
</file>