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B2" w:rsidRPr="00666DD2" w:rsidRDefault="00666DD2" w:rsidP="00666DD2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lang w:val="es-BO"/>
        </w:rPr>
      </w:pPr>
      <w:bookmarkStart w:id="0" w:name="_Toc346873831"/>
      <w:bookmarkStart w:id="1" w:name="_Toc346871641"/>
      <w:r w:rsidRPr="00666DD2">
        <w:rPr>
          <w:rFonts w:ascii="Verdana" w:hAnsi="Verdana" w:cs="Arial"/>
          <w:sz w:val="18"/>
          <w:szCs w:val="18"/>
          <w:lang w:val="es-BO"/>
        </w:rPr>
        <w:t>CONVOCATORIA</w:t>
      </w:r>
    </w:p>
    <w:p w:rsidR="00666DD2" w:rsidRPr="00666DD2" w:rsidRDefault="00666DD2" w:rsidP="00666DD2">
      <w:pPr>
        <w:rPr>
          <w:lang w:val="es-BO"/>
        </w:rPr>
      </w:pPr>
    </w:p>
    <w:p w:rsidR="00D735B2" w:rsidRDefault="00D735B2" w:rsidP="00D735B2">
      <w:pPr>
        <w:jc w:val="both"/>
        <w:rPr>
          <w:rFonts w:cs="Arial"/>
          <w:sz w:val="2"/>
          <w:szCs w:val="18"/>
          <w:lang w:val="es-BO"/>
        </w:rPr>
      </w:pPr>
    </w:p>
    <w:p w:rsidR="00D735B2" w:rsidRDefault="00D735B2" w:rsidP="00666DD2">
      <w:pPr>
        <w:ind w:hanging="1418"/>
        <w:jc w:val="both"/>
        <w:rPr>
          <w:rFonts w:cs="Arial"/>
          <w:sz w:val="2"/>
          <w:szCs w:val="18"/>
          <w:lang w:val="es-BO"/>
        </w:rPr>
      </w:pPr>
    </w:p>
    <w:p w:rsidR="00D735B2" w:rsidRDefault="00D735B2" w:rsidP="00666DD2">
      <w:pPr>
        <w:pStyle w:val="Ttulo1"/>
        <w:ind w:left="-567" w:hanging="284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169772458"/>
      <w:r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666DD2" w:rsidRPr="00666DD2" w:rsidRDefault="00666DD2" w:rsidP="00666DD2">
      <w:pPr>
        <w:rPr>
          <w:lang w:val="es-BO"/>
        </w:rPr>
      </w:pPr>
    </w:p>
    <w:tbl>
      <w:tblPr>
        <w:tblStyle w:val="Tablaconcuadrcula"/>
        <w:tblW w:w="1034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735B2" w:rsidTr="00D735B2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  <w:hideMark/>
          </w:tcPr>
          <w:p w:rsidR="00D735B2" w:rsidRDefault="00D735B2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222C8C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D735B2" w:rsidTr="00D735B2">
        <w:trPr>
          <w:jc w:val="center"/>
        </w:trPr>
        <w:tc>
          <w:tcPr>
            <w:tcW w:w="10346" w:type="dxa"/>
            <w:gridSpan w:val="26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vAlign w:val="center"/>
          </w:tcPr>
          <w:p w:rsidR="00D735B2" w:rsidRDefault="00D735B2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D735B2" w:rsidTr="00D735B2">
        <w:trPr>
          <w:trHeight w:val="227"/>
          <w:jc w:val="center"/>
        </w:trPr>
        <w:tc>
          <w:tcPr>
            <w:tcW w:w="2366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NACIONAL DE ELECTRICIDAD - ENDE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</w:tr>
      <w:tr w:rsidR="00D735B2" w:rsidTr="00D735B2">
        <w:trPr>
          <w:trHeight w:val="100"/>
          <w:jc w:val="center"/>
        </w:trPr>
        <w:tc>
          <w:tcPr>
            <w:tcW w:w="2366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</w:tr>
      <w:tr w:rsidR="00D735B2" w:rsidTr="00D735B2">
        <w:trPr>
          <w:trHeight w:val="20"/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5B2" w:rsidRDefault="00D735B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ENDE-ANPE-2025-008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</w:tr>
      <w:tr w:rsidR="00D735B2" w:rsidTr="00D735B2">
        <w:trPr>
          <w:trHeight w:val="80"/>
          <w:jc w:val="center"/>
        </w:trPr>
        <w:tc>
          <w:tcPr>
            <w:tcW w:w="2366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D735B2" w:rsidTr="00D735B2">
        <w:trPr>
          <w:jc w:val="center"/>
        </w:trPr>
        <w:tc>
          <w:tcPr>
            <w:tcW w:w="2104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2025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310"/>
        <w:gridCol w:w="281"/>
        <w:gridCol w:w="282"/>
        <w:gridCol w:w="272"/>
        <w:gridCol w:w="277"/>
        <w:gridCol w:w="276"/>
        <w:gridCol w:w="303"/>
        <w:gridCol w:w="7"/>
        <w:gridCol w:w="267"/>
        <w:gridCol w:w="10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69"/>
      </w:tblGrid>
      <w:tr w:rsidR="00D735B2" w:rsidTr="00D735B2">
        <w:trPr>
          <w:jc w:val="center"/>
        </w:trPr>
        <w:tc>
          <w:tcPr>
            <w:tcW w:w="1771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trHeight w:val="227"/>
          <w:jc w:val="center"/>
        </w:trPr>
        <w:tc>
          <w:tcPr>
            <w:tcW w:w="1771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DISCOS SSD PARA SERVIDOR NAS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trHeight w:val="20"/>
          <w:jc w:val="center"/>
        </w:trPr>
        <w:tc>
          <w:tcPr>
            <w:tcW w:w="1771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trHeight w:val="20"/>
          <w:jc w:val="center"/>
        </w:trPr>
        <w:tc>
          <w:tcPr>
            <w:tcW w:w="1771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735B2" w:rsidTr="00D735B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D735B2" w:rsidTr="00D735B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735B2" w:rsidTr="00D735B2">
        <w:trPr>
          <w:trHeight w:val="20"/>
          <w:jc w:val="center"/>
        </w:trPr>
        <w:tc>
          <w:tcPr>
            <w:tcW w:w="1771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1771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1771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1771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W w:w="4235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3168"/>
              <w:gridCol w:w="848"/>
              <w:gridCol w:w="1042"/>
              <w:gridCol w:w="1096"/>
            </w:tblGrid>
            <w:tr w:rsidR="00D735B2">
              <w:trPr>
                <w:trHeight w:val="480"/>
                <w:jc w:val="center"/>
              </w:trPr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/>
                  <w:noWrap/>
                  <w:vAlign w:val="center"/>
                  <w:hideMark/>
                </w:tcPr>
                <w:p w:rsidR="00D735B2" w:rsidRDefault="00D735B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ITEM </w:t>
                  </w:r>
                </w:p>
              </w:tc>
              <w:tc>
                <w:tcPr>
                  <w:tcW w:w="2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D735B2" w:rsidRDefault="00D735B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DESCRIPCIÓN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D735B2" w:rsidRDefault="00D735B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D735B2" w:rsidRDefault="00D735B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UNITARIO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D735B2" w:rsidRDefault="00D735B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TOTAL</w:t>
                  </w:r>
                </w:p>
              </w:tc>
            </w:tr>
            <w:tr w:rsidR="00D735B2">
              <w:trPr>
                <w:trHeight w:val="480"/>
                <w:jc w:val="center"/>
              </w:trPr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735B2" w:rsidRDefault="00D735B2">
                  <w:pPr>
                    <w:jc w:val="both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735B2" w:rsidRDefault="00D735B2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DISCOS SSD PARA SERVIDOR NAS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D735B2" w:rsidRDefault="00D735B2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735B2" w:rsidRDefault="00D735B2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60.572,00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D735B2" w:rsidRDefault="00D735B2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363.432,00</w:t>
                  </w:r>
                </w:p>
              </w:tc>
            </w:tr>
            <w:tr w:rsidR="00D735B2">
              <w:trPr>
                <w:trHeight w:val="420"/>
                <w:jc w:val="center"/>
              </w:trPr>
              <w:tc>
                <w:tcPr>
                  <w:tcW w:w="419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D735B2" w:rsidRDefault="00D735B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REFERENCIAL Bs.</w:t>
                  </w:r>
                </w:p>
              </w:tc>
              <w:tc>
                <w:tcPr>
                  <w:tcW w:w="80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D735B2" w:rsidRDefault="00D735B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363.432,00</w:t>
                  </w:r>
                </w:p>
              </w:tc>
            </w:tr>
          </w:tbl>
          <w:p w:rsidR="00D735B2" w:rsidRDefault="00D735B2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D735B2" w:rsidRDefault="00D735B2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1771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trHeight w:val="240"/>
          <w:jc w:val="center"/>
        </w:trPr>
        <w:tc>
          <w:tcPr>
            <w:tcW w:w="1771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9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735B2" w:rsidTr="00D735B2">
        <w:trPr>
          <w:jc w:val="center"/>
        </w:trPr>
        <w:tc>
          <w:tcPr>
            <w:tcW w:w="1771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1771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Plazo previsto para la entrega de bienes </w:t>
            </w:r>
            <w:r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  <w:lang w:val="es-ES"/>
              </w:rPr>
            </w:pPr>
          </w:p>
          <w:p w:rsidR="00D735B2" w:rsidRDefault="00D735B2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El plazo de entrega establecido para el presente proceso es de 60 días calendario, computables a partir del día siguiente hábil de la firma de contrato, pudiendo el proveedor ofertar plazos menores de entrega</w:t>
            </w:r>
          </w:p>
          <w:p w:rsidR="00D735B2" w:rsidRDefault="00D735B2">
            <w:pPr>
              <w:ind w:right="113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0" w:type="auto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1771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1771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de Contrato</w:t>
            </w:r>
          </w:p>
          <w:p w:rsidR="00D735B2" w:rsidRDefault="00D735B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  <w:lang w:val="es-ES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Para la suscripción de contrato de acuerdo con lo establecido en el Parágrafo II del Artículo 20 de las NB-SABS, el proponente decidirá el tipo de garantía a presentar entre ellos:</w:t>
            </w:r>
          </w:p>
          <w:p w:rsidR="00D735B2" w:rsidRDefault="00D735B2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D735B2" w:rsidRDefault="00D735B2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Boleta de Garantía, Garantía a Primer Requerimiento o Póliza de Seguro de Caución a Primer Requerimiento; todos con la característica de renovable, irrevocable y de ejecución inmediata, con el objeto garantizar la conclusión y entrega del objeto de contrato.</w:t>
            </w:r>
          </w:p>
          <w:p w:rsidR="00D735B2" w:rsidRDefault="00D735B2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D735B2" w:rsidRDefault="00D735B2">
            <w:pPr>
              <w:jc w:val="both"/>
              <w:rPr>
                <w:rFonts w:ascii="Tahoma" w:hAnsi="Tahoma" w:cs="Tahoma"/>
                <w:bCs/>
                <w:sz w:val="14"/>
                <w:szCs w:val="14"/>
                <w:lang w:val="es-ES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 xml:space="preserve">El proponente adjudicado deberá constituir una 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Cumplimiento de Contrato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equivalente al 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7% o 3,5%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(según corresponda) del monto del contrato, con una vigencia a partir de la firma de contrato hasta la recepción definitiva del bien.</w:t>
            </w:r>
          </w:p>
          <w:p w:rsidR="00D735B2" w:rsidRDefault="00D735B2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D735B2" w:rsidRDefault="00D735B2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Conforme el Artículo 21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de las NB-SABS, </w:t>
            </w:r>
            <w:r>
              <w:rPr>
                <w:rFonts w:ascii="Arial" w:hAnsi="Arial" w:cs="Arial"/>
                <w:sz w:val="14"/>
              </w:rPr>
              <w:t xml:space="preserve">inciso b) Garantía de Cumplimento de Contrato   será equivalente al siete por ciento (7%) del monto del contrato; las Micro y Pequeñas Empresas, Asociaciones de Pequeños Productores Urbanos y Rurales y Organizaciones Económicas Campesinas presentarán una Garantía de Cumplimiento de Contrato por un monto equivalente al </w:t>
            </w:r>
            <w:proofErr w:type="gramStart"/>
            <w:r>
              <w:rPr>
                <w:rFonts w:ascii="Arial" w:hAnsi="Arial" w:cs="Arial"/>
                <w:sz w:val="14"/>
              </w:rPr>
              <w:t>tres punto</w:t>
            </w:r>
            <w:proofErr w:type="gramEnd"/>
            <w:r>
              <w:rPr>
                <w:rFonts w:ascii="Arial" w:hAnsi="Arial" w:cs="Arial"/>
                <w:sz w:val="14"/>
              </w:rPr>
              <w:t xml:space="preserve"> cinco por ciento (3.5%) del valor del contrato.</w:t>
            </w:r>
          </w:p>
          <w:p w:rsidR="00D735B2" w:rsidRDefault="00D735B2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D735B2" w:rsidRDefault="00D735B2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0" w:type="auto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1771" w:type="dxa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735B2" w:rsidTr="00D735B2">
        <w:trPr>
          <w:jc w:val="center"/>
        </w:trPr>
        <w:tc>
          <w:tcPr>
            <w:tcW w:w="2373" w:type="dxa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Señalar con que presupuesto se inicia el proceso de contratación</w:t>
            </w:r>
            <w:r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Presupuesto de la próxima gestión para bienes recurrentes </w:t>
            </w:r>
            <w:r>
              <w:rPr>
                <w:rFonts w:ascii="Arial" w:hAnsi="Arial" w:cs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0" w:type="auto"/>
            <w:gridSpan w:val="27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735B2" w:rsidRDefault="00D735B2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Presupuesto de la próxima gestión </w:t>
            </w:r>
            <w:r>
              <w:rPr>
                <w:rFonts w:ascii="Arial" w:hAnsi="Arial" w:cs="Arial"/>
                <w:sz w:val="12"/>
                <w:szCs w:val="12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0" w:type="auto"/>
            <w:gridSpan w:val="2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eastAsia="Calibri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D735B2" w:rsidTr="00D735B2">
        <w:trPr>
          <w:jc w:val="center"/>
        </w:trPr>
        <w:tc>
          <w:tcPr>
            <w:tcW w:w="2366" w:type="dxa"/>
            <w:gridSpan w:val="2"/>
            <w:vMerge w:val="restart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  <w:hideMark/>
          </w:tcPr>
          <w:p w:rsidR="00D735B2" w:rsidRDefault="00D735B2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sz w:val="14"/>
              </w:rPr>
              <w:t>Nombre del Organismo Financiador</w:t>
            </w:r>
          </w:p>
          <w:p w:rsidR="00D735B2" w:rsidRDefault="00D735B2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D735B2" w:rsidRDefault="00D735B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vAlign w:val="center"/>
            <w:hideMark/>
          </w:tcPr>
          <w:p w:rsidR="00D735B2" w:rsidRDefault="00D735B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trHeight w:val="6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vAlign w:val="center"/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4"/>
              </w:rPr>
            </w:pPr>
          </w:p>
        </w:tc>
      </w:tr>
      <w:tr w:rsidR="00D735B2" w:rsidTr="00D735B2">
        <w:trPr>
          <w:jc w:val="center"/>
        </w:trPr>
        <w:tc>
          <w:tcPr>
            <w:tcW w:w="2366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735B2" w:rsidTr="00D735B2">
        <w:trPr>
          <w:trHeight w:val="397"/>
          <w:jc w:val="center"/>
        </w:trPr>
        <w:tc>
          <w:tcPr>
            <w:tcW w:w="10346" w:type="dxa"/>
            <w:gridSpan w:val="33"/>
            <w:tcBorders>
              <w:top w:val="nil"/>
              <w:left w:val="single" w:sz="12" w:space="0" w:color="1F4E79" w:themeColor="accent1" w:themeShade="80"/>
              <w:bottom w:val="nil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  <w:hideMark/>
          </w:tcPr>
          <w:p w:rsidR="00D735B2" w:rsidRDefault="00D735B2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22C8C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222C8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222C8C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735B2" w:rsidTr="00D735B2">
        <w:trPr>
          <w:jc w:val="center"/>
        </w:trPr>
        <w:tc>
          <w:tcPr>
            <w:tcW w:w="2366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735B2" w:rsidRPr="00666DD2" w:rsidTr="00D735B2">
        <w:trPr>
          <w:jc w:val="center"/>
        </w:trPr>
        <w:tc>
          <w:tcPr>
            <w:tcW w:w="2366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COLOMBIA Nº 655 - COCHABAMBA</w:t>
            </w:r>
          </w:p>
        </w:tc>
        <w:tc>
          <w:tcPr>
            <w:tcW w:w="192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5B2" w:rsidRDefault="00D73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08:30 a.m. a 12:30 p.m.</w:t>
            </w:r>
          </w:p>
          <w:p w:rsidR="00D735B2" w:rsidRDefault="00D735B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13:30 p.m. a 16:30 p.m.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lang w:val="en-US"/>
              </w:rPr>
            </w:pPr>
          </w:p>
        </w:tc>
      </w:tr>
      <w:tr w:rsidR="00D735B2" w:rsidRPr="00666DD2" w:rsidTr="00D735B2">
        <w:trPr>
          <w:jc w:val="center"/>
        </w:trPr>
        <w:tc>
          <w:tcPr>
            <w:tcW w:w="2366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D735B2" w:rsidTr="00D735B2">
        <w:trPr>
          <w:jc w:val="center"/>
        </w:trPr>
        <w:tc>
          <w:tcPr>
            <w:tcW w:w="2366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D735B2" w:rsidRDefault="00D735B2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D735B2" w:rsidRDefault="00D735B2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35B2" w:rsidRDefault="00D735B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D735B2" w:rsidRDefault="00D735B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35B2" w:rsidRDefault="00D735B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D735B2" w:rsidRDefault="00D735B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35B2" w:rsidRDefault="00D735B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735B2" w:rsidTr="00D735B2">
        <w:trPr>
          <w:jc w:val="center"/>
        </w:trPr>
        <w:tc>
          <w:tcPr>
            <w:tcW w:w="3484" w:type="dxa"/>
            <w:gridSpan w:val="6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Angélica Zambrana M.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</w:tr>
      <w:tr w:rsidR="00D735B2" w:rsidTr="00D735B2">
        <w:trPr>
          <w:jc w:val="center"/>
        </w:trPr>
        <w:tc>
          <w:tcPr>
            <w:tcW w:w="2366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</w:tr>
      <w:tr w:rsidR="00D735B2" w:rsidTr="00D735B2">
        <w:trPr>
          <w:jc w:val="center"/>
        </w:trPr>
        <w:tc>
          <w:tcPr>
            <w:tcW w:w="1596" w:type="dxa"/>
            <w:tcBorders>
              <w:top w:val="nil"/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4520317-Int. 1278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35B2" w:rsidRDefault="00D7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4520318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35B2" w:rsidRDefault="00D7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666DD2">
            <w:pPr>
              <w:jc w:val="center"/>
              <w:rPr>
                <w:rFonts w:ascii="Arial" w:hAnsi="Arial" w:cs="Arial"/>
              </w:rPr>
            </w:pPr>
            <w:hyperlink r:id="rId5" w:history="1">
              <w:r w:rsidR="00D735B2">
                <w:rPr>
                  <w:rStyle w:val="Hipervnculo"/>
                  <w:rFonts w:ascii="Arial" w:hAnsi="Arial" w:cs="Arial"/>
                </w:rPr>
                <w:t>angelica.zambrana@ende.bo</w:t>
              </w:r>
            </w:hyperlink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</w:rPr>
            </w:pPr>
          </w:p>
        </w:tc>
      </w:tr>
      <w:tr w:rsidR="00D735B2" w:rsidTr="00D735B2">
        <w:trPr>
          <w:jc w:val="center"/>
        </w:trPr>
        <w:tc>
          <w:tcPr>
            <w:tcW w:w="2366" w:type="dxa"/>
            <w:gridSpan w:val="2"/>
            <w:tcBorders>
              <w:top w:val="nil"/>
              <w:left w:val="single" w:sz="12" w:space="0" w:color="1F4E79" w:themeColor="accent1" w:themeShade="80"/>
              <w:bottom w:val="nil"/>
              <w:right w:val="nil"/>
            </w:tcBorders>
            <w:vAlign w:val="center"/>
          </w:tcPr>
          <w:p w:rsidR="00D735B2" w:rsidRDefault="00D735B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735B2" w:rsidTr="00D735B2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top w:val="nil"/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35B2" w:rsidRDefault="00D735B2">
            <w:pPr>
              <w:jc w:val="center"/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735B2" w:rsidTr="00D735B2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735B2" w:rsidTr="00D735B2">
        <w:trPr>
          <w:trHeight w:val="56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38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12" w:space="0" w:color="1F4E79" w:themeColor="accent1" w:themeShade="80"/>
            </w:tcBorders>
          </w:tcPr>
          <w:p w:rsidR="00D735B2" w:rsidRDefault="00D735B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D735B2" w:rsidRDefault="00D735B2" w:rsidP="00D735B2">
      <w:pPr>
        <w:jc w:val="center"/>
        <w:rPr>
          <w:rFonts w:cs="Arial"/>
          <w:b/>
          <w:sz w:val="18"/>
          <w:szCs w:val="18"/>
          <w:lang w:val="es-BO"/>
        </w:rPr>
      </w:pPr>
    </w:p>
    <w:p w:rsidR="00D735B2" w:rsidRDefault="00D735B2" w:rsidP="00222C8C">
      <w:pPr>
        <w:pStyle w:val="Ttulo1"/>
        <w:ind w:left="-709" w:hanging="284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169772459"/>
      <w:bookmarkEnd w:id="0"/>
      <w:bookmarkEnd w:id="1"/>
      <w:r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222C8C" w:rsidRPr="00222C8C" w:rsidRDefault="00222C8C" w:rsidP="00222C8C">
      <w:pPr>
        <w:rPr>
          <w:lang w:val="es-BO"/>
        </w:rPr>
      </w:pPr>
    </w:p>
    <w:tbl>
      <w:tblPr>
        <w:tblW w:w="1049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D735B2" w:rsidTr="00222C8C">
        <w:trPr>
          <w:trHeight w:val="251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5B2" w:rsidRDefault="00D735B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4"/>
            <w:bookmarkStart w:id="5" w:name="OLE_LINK3"/>
            <w:r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735B2" w:rsidRDefault="00D735B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735B2" w:rsidRDefault="00D735B2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D735B2" w:rsidRDefault="00D735B2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D735B2" w:rsidRDefault="00D735B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735B2" w:rsidRDefault="00D735B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735B2" w:rsidRDefault="00D735B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735B2" w:rsidRDefault="00D735B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C02E92" w:rsidRDefault="00C02E92" w:rsidP="00D735B2">
      <w:pPr>
        <w:rPr>
          <w:rFonts w:ascii="Arial" w:hAnsi="Arial" w:cs="Arial"/>
        </w:rPr>
      </w:pPr>
    </w:p>
    <w:p w:rsidR="00D735B2" w:rsidRDefault="00D735B2" w:rsidP="00D735B2">
      <w:pPr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:rsidR="00D735B2" w:rsidRDefault="00D735B2" w:rsidP="00D735B2">
      <w:pPr>
        <w:ind w:firstLine="709"/>
        <w:rPr>
          <w:rFonts w:cs="Arial"/>
          <w:sz w:val="18"/>
          <w:szCs w:val="18"/>
          <w:lang w:val="es-BO"/>
        </w:rPr>
      </w:pPr>
    </w:p>
    <w:p w:rsidR="00D735B2" w:rsidRDefault="00D735B2" w:rsidP="00D735B2">
      <w:pPr>
        <w:jc w:val="right"/>
        <w:rPr>
          <w:rFonts w:ascii="Arial" w:hAnsi="Arial" w:cs="Arial"/>
          <w:lang w:val="es-BO"/>
        </w:rPr>
      </w:pPr>
    </w:p>
    <w:tbl>
      <w:tblPr>
        <w:tblW w:w="1049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4260"/>
        <w:gridCol w:w="135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1816"/>
        <w:gridCol w:w="142"/>
      </w:tblGrid>
      <w:tr w:rsidR="00D735B2" w:rsidTr="00222C8C">
        <w:trPr>
          <w:trHeight w:val="397"/>
        </w:trPr>
        <w:tc>
          <w:tcPr>
            <w:tcW w:w="5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735B2" w:rsidTr="00222C8C">
        <w:trPr>
          <w:trHeight w:val="130"/>
        </w:trPr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rPr>
          <w:trHeight w:val="53"/>
        </w:trPr>
        <w:tc>
          <w:tcPr>
            <w:tcW w:w="709" w:type="dxa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D735B2" w:rsidTr="00222C8C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rPr>
          <w:trHeight w:val="11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D735B2" w:rsidTr="00222C8C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rPr>
          <w:trHeight w:val="18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D735B2" w:rsidTr="00222C8C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D735B2" w:rsidTr="00222C8C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rPr>
          <w:trHeight w:val="19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Inicio de Subasta Electrónica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rPr>
          <w:trHeight w:val="15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D735B2" w:rsidTr="00222C8C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rPr>
          <w:trHeight w:val="19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D735B2" w:rsidTr="00222C8C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rPr>
          <w:trHeight w:val="19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D735B2" w:rsidTr="00222C8C">
        <w:trPr>
          <w:trHeight w:val="74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rPr>
          <w:trHeight w:val="19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D735B2" w:rsidTr="00222C8C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EB50C2">
        <w:trPr>
          <w:trHeight w:val="173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EB50C2">
        <w:trPr>
          <w:trHeight w:val="53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EB50C2" w:rsidTr="00EB50C2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rPr>
          <w:trHeight w:val="19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D735B2" w:rsidTr="00222C8C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5B2" w:rsidRDefault="00D735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rPr>
          <w:trHeight w:val="19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735B2" w:rsidRDefault="00D735B2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222C8C" w:rsidTr="00222C8C"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D735B2" w:rsidRDefault="00D735B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D735B2" w:rsidRDefault="00D735B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735B2" w:rsidRDefault="00D735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35B2" w:rsidRDefault="00D735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D735B2" w:rsidRDefault="00D735B2">
            <w:pPr>
              <w:rPr>
                <w:i/>
                <w:sz w:val="14"/>
                <w:szCs w:val="14"/>
                <w:lang w:val="es-BO"/>
              </w:rPr>
            </w:pPr>
          </w:p>
        </w:tc>
      </w:tr>
    </w:tbl>
    <w:p w:rsidR="00D735B2" w:rsidRDefault="00D735B2" w:rsidP="00C02E92">
      <w:pPr>
        <w:ind w:left="-993"/>
        <w:jc w:val="both"/>
        <w:rPr>
          <w:rFonts w:cs="Arial"/>
          <w:i/>
          <w:sz w:val="14"/>
          <w:szCs w:val="18"/>
          <w:lang w:val="es-BO"/>
        </w:rPr>
      </w:pPr>
      <w:r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:rsidR="00D735B2" w:rsidRDefault="00D735B2" w:rsidP="00C02E92">
      <w:pPr>
        <w:ind w:left="-993"/>
        <w:jc w:val="both"/>
        <w:rPr>
          <w:rFonts w:cs="Arial"/>
          <w:i/>
          <w:sz w:val="14"/>
          <w:szCs w:val="18"/>
          <w:lang w:val="es-BO"/>
        </w:rPr>
      </w:pPr>
      <w:r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aleatorio, en el marco del Artículo 27 d</w:t>
      </w:r>
      <w:bookmarkStart w:id="6" w:name="_GoBack"/>
      <w:bookmarkEnd w:id="6"/>
      <w:r>
        <w:rPr>
          <w:rFonts w:cs="Arial"/>
          <w:i/>
          <w:sz w:val="14"/>
          <w:szCs w:val="18"/>
          <w:lang w:val="es-BO"/>
        </w:rPr>
        <w:t>el Reglamento de Contrataciones con Apoyo de Medios Electrónicos.</w:t>
      </w:r>
    </w:p>
    <w:sectPr w:rsidR="00D73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4F643F64">
      <w:start w:val="1"/>
      <w:numFmt w:val="decimal"/>
      <w:lvlText w:val="%3."/>
      <w:lvlJc w:val="left"/>
      <w:pPr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  <w:sz w:val="18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  <w:pPr>
        <w:ind w:left="0" w:firstLine="0"/>
      </w:pPr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>
      <w:start w:val="1"/>
      <w:numFmt w:val="lowerLetter"/>
      <w:lvlText w:val="%2."/>
      <w:lvlJc w:val="left"/>
      <w:pPr>
        <w:ind w:left="3285" w:hanging="360"/>
      </w:pPr>
    </w:lvl>
    <w:lvl w:ilvl="2" w:tplc="400A001B">
      <w:start w:val="1"/>
      <w:numFmt w:val="lowerRoman"/>
      <w:lvlText w:val="%3."/>
      <w:lvlJc w:val="right"/>
      <w:pPr>
        <w:ind w:left="4005" w:hanging="180"/>
      </w:pPr>
    </w:lvl>
    <w:lvl w:ilvl="3" w:tplc="400A000F">
      <w:start w:val="1"/>
      <w:numFmt w:val="decimal"/>
      <w:lvlText w:val="%4."/>
      <w:lvlJc w:val="left"/>
      <w:pPr>
        <w:ind w:left="4725" w:hanging="360"/>
      </w:pPr>
    </w:lvl>
    <w:lvl w:ilvl="4" w:tplc="400A0019">
      <w:start w:val="1"/>
      <w:numFmt w:val="lowerLetter"/>
      <w:lvlText w:val="%5."/>
      <w:lvlJc w:val="left"/>
      <w:pPr>
        <w:ind w:left="5445" w:hanging="360"/>
      </w:pPr>
    </w:lvl>
    <w:lvl w:ilvl="5" w:tplc="400A001B">
      <w:start w:val="1"/>
      <w:numFmt w:val="lowerRoman"/>
      <w:lvlText w:val="%6."/>
      <w:lvlJc w:val="right"/>
      <w:pPr>
        <w:ind w:left="6165" w:hanging="180"/>
      </w:pPr>
    </w:lvl>
    <w:lvl w:ilvl="6" w:tplc="400A000F">
      <w:start w:val="1"/>
      <w:numFmt w:val="decimal"/>
      <w:lvlText w:val="%7."/>
      <w:lvlJc w:val="left"/>
      <w:pPr>
        <w:ind w:left="6885" w:hanging="360"/>
      </w:pPr>
    </w:lvl>
    <w:lvl w:ilvl="7" w:tplc="400A0019">
      <w:start w:val="1"/>
      <w:numFmt w:val="lowerLetter"/>
      <w:lvlText w:val="%8."/>
      <w:lvlJc w:val="left"/>
      <w:pPr>
        <w:ind w:left="7605" w:hanging="360"/>
      </w:pPr>
    </w:lvl>
    <w:lvl w:ilvl="8" w:tplc="400A001B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B2"/>
    <w:rsid w:val="00222C8C"/>
    <w:rsid w:val="004664BF"/>
    <w:rsid w:val="00666DD2"/>
    <w:rsid w:val="00894C3D"/>
    <w:rsid w:val="00C02E92"/>
    <w:rsid w:val="00D735B2"/>
    <w:rsid w:val="00EB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E587"/>
  <w15:chartTrackingRefBased/>
  <w15:docId w15:val="{D28DA15B-E861-4E52-A670-C627D8E8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B2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735B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35B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35B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35B2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35B2"/>
    <w:pPr>
      <w:numPr>
        <w:numId w:val="3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35B2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35B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35B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35B2"/>
    <w:pPr>
      <w:keepNext/>
      <w:numPr>
        <w:numId w:val="5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5B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35B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35B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35B2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35B2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35B2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35B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35B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35B2"/>
    <w:rPr>
      <w:rFonts w:ascii="Tahoma" w:eastAsia="Times New Roman" w:hAnsi="Tahoma" w:cs="Times New Roman"/>
      <w:sz w:val="28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D735B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35B2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73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735B2"/>
    <w:rPr>
      <w:rFonts w:ascii="Courier New" w:eastAsiaTheme="minorEastAsia" w:hAnsi="Courier New" w:cs="Courier New"/>
      <w:sz w:val="20"/>
      <w:szCs w:val="20"/>
      <w:lang w:eastAsia="es-ES"/>
    </w:rPr>
  </w:style>
  <w:style w:type="paragraph" w:customStyle="1" w:styleId="msonormal0">
    <w:name w:val="msonormal"/>
    <w:basedOn w:val="Normal"/>
    <w:uiPriority w:val="99"/>
    <w:rsid w:val="00D735B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735B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735B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D735B2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735B2"/>
    <w:pPr>
      <w:spacing w:after="100"/>
      <w:ind w:left="32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735B2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735B2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735B2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735B2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735B2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735B2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35B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35B2"/>
    <w:rPr>
      <w:rFonts w:ascii="Calibri" w:eastAsia="Calibri" w:hAnsi="Calibri" w:cs="Times New Roman"/>
      <w:sz w:val="20"/>
      <w:szCs w:val="20"/>
      <w:lang w:val="es-BO"/>
    </w:rPr>
  </w:style>
  <w:style w:type="character" w:customStyle="1" w:styleId="TextocomentarioCar">
    <w:name w:val="Texto comentario Car"/>
    <w:aliases w:val="Car Car Car"/>
    <w:basedOn w:val="Fuentedeprrafopredeter"/>
    <w:link w:val="Textocomentario"/>
    <w:uiPriority w:val="99"/>
    <w:semiHidden/>
    <w:locked/>
    <w:rsid w:val="00D735B2"/>
    <w:rPr>
      <w:rFonts w:ascii="Century Gothic" w:hAnsi="Century Gothic"/>
      <w:sz w:val="16"/>
      <w:szCs w:val="16"/>
      <w:lang w:eastAsia="es-ES"/>
    </w:rPr>
  </w:style>
  <w:style w:type="paragraph" w:styleId="Textocomentario">
    <w:name w:val="annotation text"/>
    <w:aliases w:val="Car Car"/>
    <w:basedOn w:val="Normal"/>
    <w:link w:val="TextocomentarioCar"/>
    <w:uiPriority w:val="99"/>
    <w:semiHidden/>
    <w:unhideWhenUsed/>
    <w:rsid w:val="00D735B2"/>
    <w:rPr>
      <w:rFonts w:ascii="Century Gothic" w:eastAsiaTheme="minorHAnsi" w:hAnsi="Century Gothic" w:cstheme="minorBidi"/>
    </w:rPr>
  </w:style>
  <w:style w:type="character" w:customStyle="1" w:styleId="TextocomentarioCar1">
    <w:name w:val="Texto comentario Car1"/>
    <w:aliases w:val="Car Car Car1"/>
    <w:basedOn w:val="Fuentedeprrafopredeter"/>
    <w:uiPriority w:val="99"/>
    <w:semiHidden/>
    <w:rsid w:val="00D735B2"/>
    <w:rPr>
      <w:rFonts w:ascii="Verdana" w:eastAsia="Times New Roman" w:hAnsi="Verdana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735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5B2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735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35B2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735B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735B2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"/>
    <w:uiPriority w:val="99"/>
    <w:semiHidden/>
    <w:unhideWhenUsed/>
    <w:rsid w:val="00D735B2"/>
    <w:pPr>
      <w:ind w:left="566" w:hanging="283"/>
    </w:pPr>
    <w:rPr>
      <w:rFonts w:ascii="Times New Roman" w:hAnsi="Times New Roman"/>
    </w:rPr>
  </w:style>
  <w:style w:type="paragraph" w:styleId="Listaconvietas2">
    <w:name w:val="List Bullet 2"/>
    <w:basedOn w:val="Normal"/>
    <w:autoRedefine/>
    <w:uiPriority w:val="99"/>
    <w:semiHidden/>
    <w:unhideWhenUsed/>
    <w:rsid w:val="00D735B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3">
    <w:name w:val="List Bullet 3"/>
    <w:basedOn w:val="Normal"/>
    <w:autoRedefine/>
    <w:uiPriority w:val="99"/>
    <w:semiHidden/>
    <w:unhideWhenUsed/>
    <w:rsid w:val="00D735B2"/>
    <w:pPr>
      <w:tabs>
        <w:tab w:val="num" w:pos="1410"/>
        <w:tab w:val="num" w:pos="1903"/>
      </w:tabs>
      <w:snapToGrid w:val="0"/>
      <w:ind w:left="1903" w:hanging="283"/>
      <w:jc w:val="both"/>
    </w:pPr>
    <w:rPr>
      <w:rFonts w:ascii="Times New Roman" w:hAnsi="Times New Roman"/>
      <w:sz w:val="20"/>
      <w:szCs w:val="20"/>
      <w:lang w:val="es-BO"/>
    </w:rPr>
  </w:style>
  <w:style w:type="paragraph" w:styleId="Listaconvietas4">
    <w:name w:val="List Bullet 4"/>
    <w:basedOn w:val="Normal"/>
    <w:autoRedefine/>
    <w:uiPriority w:val="99"/>
    <w:semiHidden/>
    <w:unhideWhenUsed/>
    <w:rsid w:val="00D735B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ar1"/>
    <w:uiPriority w:val="10"/>
    <w:qFormat/>
    <w:rsid w:val="00D735B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uiPriority w:val="10"/>
    <w:rsid w:val="00D735B2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aliases w:val="Car"/>
    <w:basedOn w:val="Normal"/>
    <w:link w:val="TextoindependienteCar1"/>
    <w:uiPriority w:val="99"/>
    <w:semiHidden/>
    <w:unhideWhenUsed/>
    <w:rsid w:val="00D735B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Car Car1"/>
    <w:basedOn w:val="Fuentedeprrafopredeter"/>
    <w:uiPriority w:val="99"/>
    <w:semiHidden/>
    <w:rsid w:val="00D735B2"/>
    <w:rPr>
      <w:rFonts w:ascii="Verdana" w:eastAsia="Times New Roman" w:hAnsi="Verdana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735B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735B2"/>
    <w:rPr>
      <w:rFonts w:ascii="Times New Roman" w:eastAsia="Times New Roman" w:hAnsi="Times New Roman" w:cs="Times New Roman"/>
      <w:sz w:val="20"/>
      <w:szCs w:val="20"/>
    </w:rPr>
  </w:style>
  <w:style w:type="paragraph" w:styleId="Continuarlista2">
    <w:name w:val="List Continue 2"/>
    <w:basedOn w:val="Normal"/>
    <w:uiPriority w:val="99"/>
    <w:semiHidden/>
    <w:unhideWhenUsed/>
    <w:rsid w:val="00D735B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styleId="Subttulo">
    <w:name w:val="Subtitle"/>
    <w:basedOn w:val="Normal"/>
    <w:next w:val="Normal"/>
    <w:link w:val="SubttuloCar"/>
    <w:uiPriority w:val="99"/>
    <w:qFormat/>
    <w:rsid w:val="00D735B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D735B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735B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735B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735B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735B2"/>
    <w:rPr>
      <w:rFonts w:ascii="Times New Roman" w:eastAsia="Times New Roman" w:hAnsi="Times New Roman"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35B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35B2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735B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735B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debloque">
    <w:name w:val="Block Text"/>
    <w:basedOn w:val="Normal"/>
    <w:uiPriority w:val="99"/>
    <w:semiHidden/>
    <w:unhideWhenUsed/>
    <w:rsid w:val="00D735B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5B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D735B2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5B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5B2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735B2"/>
    <w:rPr>
      <w:rFonts w:ascii="Calibri" w:hAnsi="Calibri"/>
    </w:rPr>
  </w:style>
  <w:style w:type="paragraph" w:styleId="Sinespaciado">
    <w:name w:val="No Spacing"/>
    <w:link w:val="SinespaciadoCar"/>
    <w:uiPriority w:val="1"/>
    <w:qFormat/>
    <w:rsid w:val="00D735B2"/>
    <w:pPr>
      <w:spacing w:after="0" w:line="240" w:lineRule="auto"/>
    </w:pPr>
    <w:rPr>
      <w:rFonts w:ascii="Calibri" w:hAnsi="Calibri"/>
    </w:rPr>
  </w:style>
  <w:style w:type="paragraph" w:styleId="Revisin">
    <w:name w:val="Revision"/>
    <w:uiPriority w:val="99"/>
    <w:semiHidden/>
    <w:rsid w:val="00D7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qFormat/>
    <w:locked/>
    <w:rsid w:val="00D735B2"/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D735B2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735B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customStyle="1" w:styleId="Normal2">
    <w:name w:val="Normal 2"/>
    <w:basedOn w:val="Normal"/>
    <w:uiPriority w:val="99"/>
    <w:rsid w:val="00D735B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uiPriority w:val="99"/>
    <w:rsid w:val="00D735B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uiPriority w:val="99"/>
    <w:rsid w:val="00D735B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uiPriority w:val="99"/>
    <w:rsid w:val="00D735B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Estilo">
    <w:name w:val="Estilo"/>
    <w:uiPriority w:val="99"/>
    <w:rsid w:val="00D73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customStyle="1" w:styleId="1301Autolist">
    <w:name w:val="13.01 Autolist"/>
    <w:basedOn w:val="Normal"/>
    <w:next w:val="Normal"/>
    <w:uiPriority w:val="99"/>
    <w:rsid w:val="00D735B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aparagraphs">
    <w:name w:val="(a) paragraphs"/>
    <w:next w:val="Normal"/>
    <w:uiPriority w:val="99"/>
    <w:rsid w:val="00D735B2"/>
    <w:pPr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Sub-ClauseText">
    <w:name w:val="Sub-Clause Text"/>
    <w:basedOn w:val="Normal"/>
    <w:uiPriority w:val="99"/>
    <w:rsid w:val="00D735B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D735B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ocument1">
    <w:name w:val="Document 1"/>
    <w:uiPriority w:val="99"/>
    <w:rsid w:val="00D735B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Head1">
    <w:name w:val="Head1"/>
    <w:basedOn w:val="Normal"/>
    <w:uiPriority w:val="99"/>
    <w:rsid w:val="00D735B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xl25">
    <w:name w:val="xl25"/>
    <w:basedOn w:val="Normal"/>
    <w:uiPriority w:val="99"/>
    <w:rsid w:val="00D735B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uiPriority w:val="99"/>
    <w:rsid w:val="00D735B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uiPriority w:val="99"/>
    <w:rsid w:val="00D735B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tulo10">
    <w:name w:val="Título1"/>
    <w:basedOn w:val="Normal"/>
    <w:link w:val="TtuloCar"/>
    <w:uiPriority w:val="10"/>
    <w:qFormat/>
    <w:rsid w:val="00D735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11">
    <w:name w:val="Título11"/>
    <w:basedOn w:val="Normal"/>
    <w:uiPriority w:val="99"/>
    <w:qFormat/>
    <w:rsid w:val="00D735B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Refdenotaalpie">
    <w:name w:val="footnote reference"/>
    <w:basedOn w:val="Fuentedeprrafopredeter"/>
    <w:uiPriority w:val="99"/>
    <w:semiHidden/>
    <w:unhideWhenUsed/>
    <w:rsid w:val="00D735B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735B2"/>
    <w:rPr>
      <w:sz w:val="16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D735B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735B2"/>
    <w:rPr>
      <w:color w:val="808080"/>
    </w:rPr>
  </w:style>
  <w:style w:type="character" w:customStyle="1" w:styleId="TextoindependienteCar1">
    <w:name w:val="Texto independiente Car1"/>
    <w:aliases w:val="Car Car2"/>
    <w:basedOn w:val="Fuentedeprrafopredeter"/>
    <w:link w:val="Textoindependiente"/>
    <w:uiPriority w:val="99"/>
    <w:semiHidden/>
    <w:locked/>
    <w:rsid w:val="00D735B2"/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tuloCar1">
    <w:name w:val="Título Car1"/>
    <w:basedOn w:val="Fuentedeprrafopredeter"/>
    <w:link w:val="Ttulo"/>
    <w:uiPriority w:val="10"/>
    <w:locked/>
    <w:rsid w:val="00D735B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CarCar11">
    <w:name w:val="Car Car11"/>
    <w:basedOn w:val="Fuentedeprrafopredeter"/>
    <w:rsid w:val="00D735B2"/>
    <w:rPr>
      <w:rFonts w:ascii="Tahoma" w:eastAsia="Times New Roman" w:hAnsi="Tahoma" w:cs="Tahoma" w:hint="default"/>
      <w:b/>
      <w:bCs w:val="0"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735B2"/>
    <w:rPr>
      <w:rFonts w:ascii="Times New Roman" w:eastAsia="Times New Roman" w:hAnsi="Times New Roman" w:cs="Times New Roman" w:hint="default"/>
      <w:b/>
      <w:bCs w:val="0"/>
      <w:sz w:val="22"/>
      <w:u w:val="single"/>
      <w:lang w:val="es-MX" w:eastAsia="es-ES"/>
    </w:rPr>
  </w:style>
  <w:style w:type="character" w:customStyle="1" w:styleId="y2iqfc">
    <w:name w:val="y2iqfc"/>
    <w:rsid w:val="00D735B2"/>
  </w:style>
  <w:style w:type="table" w:styleId="Tablaconcuadrcula">
    <w:name w:val="Table Grid"/>
    <w:basedOn w:val="Tablanormal"/>
    <w:uiPriority w:val="39"/>
    <w:rsid w:val="00D7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decuadrcula5oscura">
    <w:name w:val="Grid Table 5 Dark"/>
    <w:basedOn w:val="Tablanormal"/>
    <w:uiPriority w:val="50"/>
    <w:rsid w:val="00D735B2"/>
    <w:pPr>
      <w:spacing w:after="0" w:line="240" w:lineRule="auto"/>
    </w:pPr>
    <w:rPr>
      <w:rFonts w:eastAsiaTheme="minorEastAsia" w:cs="Times New Roman"/>
      <w:lang w:val="es-BO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999999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999999"/>
      </w:tcPr>
    </w:tblStylePr>
  </w:style>
  <w:style w:type="table" w:customStyle="1" w:styleId="Tablaconcuadrcula1">
    <w:name w:val="Tabla con cuadrícula1"/>
    <w:basedOn w:val="Tablanormal"/>
    <w:uiPriority w:val="59"/>
    <w:rsid w:val="00D735B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uiPriority w:val="59"/>
    <w:rsid w:val="00D735B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uiPriority w:val="39"/>
    <w:rsid w:val="00D735B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uiPriority w:val="39"/>
    <w:rsid w:val="00D735B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uiPriority w:val="59"/>
    <w:rsid w:val="00D735B2"/>
    <w:pPr>
      <w:spacing w:after="0" w:line="240" w:lineRule="auto"/>
    </w:pPr>
    <w:rPr>
      <w:rFonts w:ascii="Calibri" w:eastAsia="Times New Roman" w:hAnsi="Calibri" w:cs="Times New Roman"/>
      <w:lang w:val="es-BO" w:eastAsia="es-B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1">
    <w:name w:val="Tabla de cuadrícula 5 oscura1"/>
    <w:basedOn w:val="Tablanormal"/>
    <w:uiPriority w:val="50"/>
    <w:rsid w:val="00D735B2"/>
    <w:pPr>
      <w:spacing w:after="0" w:line="240" w:lineRule="auto"/>
    </w:pPr>
    <w:rPr>
      <w:rFonts w:eastAsiaTheme="minorEastAsia" w:cs="Times New Roman"/>
      <w:lang w:val="es-BO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999999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D735B2"/>
    <w:pPr>
      <w:spacing w:after="0" w:line="240" w:lineRule="auto"/>
    </w:pPr>
    <w:rPr>
      <w:rFonts w:eastAsiaTheme="minorEastAsia" w:cs="Times New Roman"/>
      <w:lang w:val="es-BO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999999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999999"/>
      </w:tcPr>
    </w:tblStylePr>
  </w:style>
  <w:style w:type="paragraph" w:customStyle="1" w:styleId="iAutoList">
    <w:name w:val="(i) AutoList"/>
    <w:basedOn w:val="aparagraphs"/>
    <w:next w:val="Normal"/>
    <w:uiPriority w:val="99"/>
    <w:rsid w:val="00D735B2"/>
    <w:pPr>
      <w:tabs>
        <w:tab w:val="num" w:pos="1584"/>
      </w:tabs>
      <w:ind w:left="1584" w:hanging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ca.zambran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2025-02-24T18:58:00Z</dcterms:created>
  <dcterms:modified xsi:type="dcterms:W3CDTF">2025-02-24T18:58:00Z</dcterms:modified>
</cp:coreProperties>
</file>