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B1" w:rsidRPr="009956C4" w:rsidRDefault="000A4EB1" w:rsidP="000A4EB1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0A4EB1" w:rsidRPr="009956C4" w:rsidRDefault="000A4EB1" w:rsidP="000A4EB1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0A4EB1" w:rsidRPr="009956C4" w:rsidRDefault="000A4EB1" w:rsidP="000A4EB1">
      <w:pPr>
        <w:jc w:val="center"/>
        <w:rPr>
          <w:rFonts w:cs="Arial"/>
          <w:b/>
          <w:sz w:val="4"/>
          <w:szCs w:val="18"/>
          <w:lang w:val="es-BO"/>
        </w:rPr>
      </w:pPr>
    </w:p>
    <w:p w:rsidR="000A4EB1" w:rsidRPr="009956C4" w:rsidRDefault="000A4EB1" w:rsidP="000A4EB1">
      <w:pPr>
        <w:jc w:val="both"/>
        <w:rPr>
          <w:rFonts w:cs="Arial"/>
          <w:sz w:val="2"/>
          <w:szCs w:val="18"/>
          <w:lang w:val="es-BO"/>
        </w:rPr>
      </w:pPr>
    </w:p>
    <w:p w:rsidR="000A4EB1" w:rsidRPr="009956C4" w:rsidRDefault="000A4EB1" w:rsidP="000A4EB1">
      <w:pPr>
        <w:jc w:val="both"/>
        <w:rPr>
          <w:rFonts w:cs="Arial"/>
          <w:sz w:val="2"/>
          <w:szCs w:val="18"/>
          <w:lang w:val="es-BO"/>
        </w:rPr>
      </w:pPr>
    </w:p>
    <w:p w:rsidR="000A4EB1" w:rsidRPr="009956C4" w:rsidRDefault="000A4EB1" w:rsidP="000A4EB1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A4EB1" w:rsidRPr="009956C4" w:rsidTr="00CF139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A4EB1" w:rsidRPr="009956C4" w:rsidRDefault="000A4EB1" w:rsidP="000A4EB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A4EB1" w:rsidRPr="009956C4" w:rsidTr="00CF139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0A4EB1" w:rsidRPr="009956C4" w:rsidTr="00CF139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  <w:r w:rsidRPr="00EB77C6">
              <w:rPr>
                <w:rFonts w:ascii="Arial" w:hAnsi="Arial" w:cs="Arial"/>
                <w:sz w:val="12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</w:tr>
      <w:tr w:rsidR="000A4EB1" w:rsidRPr="009956C4" w:rsidTr="00CF139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6F5783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ENDE-ANPE-</w:t>
            </w:r>
            <w:r w:rsidRPr="00FD7826">
              <w:rPr>
                <w:rFonts w:ascii="Arial" w:hAnsi="Arial" w:cs="Arial"/>
                <w:sz w:val="14"/>
              </w:rPr>
              <w:t>2021-16</w:t>
            </w: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</w:tr>
      <w:tr w:rsidR="000A4EB1" w:rsidRPr="009956C4" w:rsidTr="00CF139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0A4EB1" w:rsidRPr="009956C4" w:rsidTr="00CF139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245DE9" w:rsidRDefault="000A4EB1" w:rsidP="00CF1391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69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357"/>
        <w:gridCol w:w="290"/>
        <w:gridCol w:w="291"/>
        <w:gridCol w:w="285"/>
        <w:gridCol w:w="287"/>
        <w:gridCol w:w="286"/>
        <w:gridCol w:w="310"/>
        <w:gridCol w:w="287"/>
        <w:gridCol w:w="287"/>
        <w:gridCol w:w="287"/>
        <w:gridCol w:w="285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57"/>
      </w:tblGrid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trHeight w:val="227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0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8C0ADD">
              <w:rPr>
                <w:rFonts w:ascii="Arial" w:hAnsi="Arial" w:cs="Arial"/>
                <w:sz w:val="14"/>
              </w:rPr>
              <w:t>ADQUISICIÓN DE INTERRUPTORES REGIONAL COBIJA – GESTION 2021</w:t>
            </w: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8" w:type="dxa"/>
            <w:gridSpan w:val="10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0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7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Default="000A4EB1" w:rsidP="00CF139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0A4EB1" w:rsidRDefault="000A4EB1" w:rsidP="00CF139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7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055"/>
              <w:gridCol w:w="895"/>
              <w:gridCol w:w="1116"/>
              <w:gridCol w:w="1089"/>
              <w:gridCol w:w="1078"/>
            </w:tblGrid>
            <w:tr w:rsidR="000A4EB1" w:rsidRPr="006A2D84" w:rsidTr="00CF1391">
              <w:trPr>
                <w:trHeight w:val="61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D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UNITARIO (Bs.)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6A2D84" w:rsidRDefault="000A4EB1" w:rsidP="00CF13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TOTAL (Bs.)</w:t>
                  </w:r>
                </w:p>
              </w:tc>
            </w:tr>
            <w:tr w:rsidR="000A4EB1" w:rsidRPr="006A2D84" w:rsidTr="00CF1391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TIPO FIJO DE 1600 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75.535</w:t>
                  </w:r>
                  <w:r w:rsidRPr="007F0D6A">
                    <w:t>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75</w:t>
                  </w:r>
                  <w:r w:rsidRPr="003C16E4">
                    <w:t>.</w:t>
                  </w:r>
                  <w:r>
                    <w:t>535</w:t>
                  </w:r>
                  <w:r w:rsidRPr="003C16E4">
                    <w:t>,00</w:t>
                  </w:r>
                </w:p>
              </w:tc>
            </w:tr>
            <w:tr w:rsidR="000A4EB1" w:rsidRPr="006A2D84" w:rsidTr="00CF1391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 xml:space="preserve">   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TIPO FIJO DE 1250 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A8467C"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47.291,00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47.291,00</w:t>
                  </w:r>
                </w:p>
              </w:tc>
            </w:tr>
            <w:tr w:rsidR="000A4EB1" w:rsidRPr="006A2D84" w:rsidTr="00CF1391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TIPO FIJO DE 4000 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A8467C"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66.535</w:t>
                  </w:r>
                  <w:r w:rsidRPr="007F0D6A">
                    <w:t>,</w:t>
                  </w:r>
                  <w:r>
                    <w:t>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66.535</w:t>
                  </w:r>
                  <w:r w:rsidRPr="003C16E4">
                    <w:t>,00</w:t>
                  </w:r>
                </w:p>
              </w:tc>
            </w:tr>
            <w:tr w:rsidR="000A4EB1" w:rsidRPr="006A2D84" w:rsidTr="00CF1391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BREAKER TRIFÁSICO REGULABLE DE 250 AMPERIOS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2,518,00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50.360</w:t>
                  </w:r>
                  <w:r w:rsidRPr="003C16E4">
                    <w:t>,00</w:t>
                  </w:r>
                </w:p>
              </w:tc>
            </w:tr>
            <w:tr w:rsidR="000A4EB1" w:rsidRPr="006A2D84" w:rsidTr="00CF1391">
              <w:trPr>
                <w:trHeight w:val="419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BREAKER TRIFÁSICO REGULABLE DE 160 AMPERIOS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1.424,00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7.120</w:t>
                  </w:r>
                  <w:r w:rsidRPr="003C16E4">
                    <w:t>,00</w:t>
                  </w:r>
                </w:p>
              </w:tc>
            </w:tr>
            <w:tr w:rsidR="000A4EB1" w:rsidRPr="006A2D84" w:rsidTr="00CF1391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B1" w:rsidRDefault="000A4EB1" w:rsidP="00CF1391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B1" w:rsidRPr="00EE49F2" w:rsidRDefault="000A4EB1" w:rsidP="00CF1391">
                  <w:pPr>
                    <w:spacing w:line="276" w:lineRule="auto"/>
                  </w:pPr>
                  <w:r w:rsidRPr="00334D12">
                    <w:t>INTERRUPTOR BREAKER MONOPOLAR FIJO DE 80 AMPERIOS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B1" w:rsidRDefault="000A4EB1" w:rsidP="00CF139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B1" w:rsidRPr="007F0D6A" w:rsidRDefault="000A4EB1" w:rsidP="00CF1391">
                  <w:pPr>
                    <w:jc w:val="center"/>
                  </w:pPr>
                  <w:r>
                    <w:t>430,00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B1" w:rsidRPr="003C16E4" w:rsidRDefault="000A4EB1" w:rsidP="00CF1391">
                  <w:pPr>
                    <w:jc w:val="center"/>
                  </w:pPr>
                  <w:r>
                    <w:t>6.450</w:t>
                  </w:r>
                  <w:r w:rsidRPr="003C16E4">
                    <w:t>,</w:t>
                  </w:r>
                  <w:r>
                    <w:t>0</w:t>
                  </w:r>
                  <w:r w:rsidRPr="003C16E4">
                    <w:t>0</w:t>
                  </w:r>
                </w:p>
              </w:tc>
            </w:tr>
            <w:tr w:rsidR="000A4EB1" w:rsidRPr="006A2D84" w:rsidTr="00CF1391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EB1" w:rsidRPr="000316D3" w:rsidRDefault="000A4EB1" w:rsidP="00CF1391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 xml:space="preserve">    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34D12">
                    <w:t>INTERRUPTOR BREAKER MONOPOLAR FIJO DE 70 AMPERIOS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10C6B"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430,00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EB1" w:rsidRPr="000316D3" w:rsidRDefault="000A4EB1" w:rsidP="00CF1391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t>4.300,00</w:t>
                  </w:r>
                </w:p>
              </w:tc>
            </w:tr>
          </w:tbl>
          <w:p w:rsidR="000A4EB1" w:rsidRDefault="000A4EB1" w:rsidP="00CF139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0A4EB1" w:rsidRPr="009956C4" w:rsidRDefault="000A4EB1" w:rsidP="00CF139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trHeight w:val="24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68" w:type="dxa"/>
            <w:gridSpan w:val="16"/>
            <w:tcBorders>
              <w:left w:val="single" w:sz="4" w:space="0" w:color="auto"/>
            </w:tcBorders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F14DA">
              <w:rPr>
                <w:rFonts w:ascii="Arial" w:hAnsi="Arial" w:cs="Arial"/>
                <w:b/>
                <w:i/>
                <w:sz w:val="14"/>
              </w:rPr>
              <w:t xml:space="preserve">(35) días calendario </w:t>
            </w:r>
            <w:r w:rsidRPr="00184E6A">
              <w:rPr>
                <w:rFonts w:ascii="Arial" w:hAnsi="Arial" w:cs="Arial"/>
                <w:b/>
                <w:i/>
                <w:sz w:val="14"/>
              </w:rPr>
              <w:t>computables a partir del siguiente día hábil de la firma del contrato, pudiendo ofertar plazos menores de entrega.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A4EB1" w:rsidRPr="009956C4" w:rsidTr="00CF139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A4EB1" w:rsidRPr="009956C4" w:rsidTr="00CF1391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0A4EB1" w:rsidRPr="009956C4" w:rsidRDefault="000A4EB1" w:rsidP="00CF139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F41C66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  <w:r w:rsidRPr="00EC773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4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4EB1" w:rsidRPr="009956C4" w:rsidTr="00CF1391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A4EB1" w:rsidRPr="009956C4" w:rsidRDefault="000A4EB1" w:rsidP="000A4EB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Calle Colombia casi esquina </w:t>
            </w:r>
            <w:proofErr w:type="spellStart"/>
            <w:r w:rsidRPr="00EC7739">
              <w:rPr>
                <w:rFonts w:ascii="Arial" w:hAnsi="Arial" w:cs="Arial"/>
              </w:rPr>
              <w:t>Falsuri</w:t>
            </w:r>
            <w:proofErr w:type="spellEnd"/>
            <w:r w:rsidRPr="00EC7739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  <w:sz w:val="12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Jhonny</w:t>
            </w:r>
            <w:proofErr w:type="spellEnd"/>
            <w:r>
              <w:rPr>
                <w:rFonts w:ascii="Arial" w:hAnsi="Arial" w:cs="Arial"/>
              </w:rPr>
              <w:t xml:space="preserve"> Condori Benavidez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–</w:t>
            </w:r>
            <w:r w:rsidRPr="00EC7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GOSE RCBJ 2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4537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jhonny.condori</w:t>
            </w:r>
            <w:r w:rsidRPr="00EC7739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A4EB1" w:rsidRPr="009956C4" w:rsidRDefault="000A4EB1" w:rsidP="00CF1391">
            <w:pPr>
              <w:rPr>
                <w:rFonts w:ascii="Arial" w:hAnsi="Arial" w:cs="Arial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402294" w:rsidRDefault="000A4EB1" w:rsidP="00CF139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AF6698" w:rsidRDefault="000A4EB1" w:rsidP="00CF1391">
            <w:pPr>
              <w:rPr>
                <w:rFonts w:ascii="Arial" w:hAnsi="Arial" w:cs="Arial"/>
              </w:rPr>
            </w:pPr>
            <w:r w:rsidRPr="00AF6698">
              <w:rPr>
                <w:rFonts w:ascii="Arial" w:hAnsi="Arial" w:cs="Arial"/>
              </w:rPr>
              <w:t>(NO APLICA)</w:t>
            </w:r>
          </w:p>
          <w:p w:rsidR="000A4EB1" w:rsidRPr="00AF6698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A4EB1" w:rsidRPr="009956C4" w:rsidTr="00CF1391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0A4EB1" w:rsidRPr="009956C4" w:rsidRDefault="000A4EB1" w:rsidP="00CF139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0A4EB1" w:rsidRPr="00A9233F" w:rsidRDefault="000A4EB1" w:rsidP="000A4EB1">
      <w:pPr>
        <w:rPr>
          <w:lang w:val="es-BO"/>
        </w:rPr>
      </w:pPr>
      <w:bookmarkStart w:id="3" w:name="_Toc61869922"/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Pr="009956C4" w:rsidRDefault="000A4EB1" w:rsidP="000A4EB1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0A4EB1" w:rsidRPr="009956C4" w:rsidRDefault="000A4EB1" w:rsidP="000A4EB1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A4EB1" w:rsidRPr="009956C4" w:rsidTr="000A4EB1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EB1" w:rsidRPr="009956C4" w:rsidRDefault="000A4EB1" w:rsidP="00CF139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bookmarkStart w:id="6" w:name="_GoBack"/>
            <w:bookmarkEnd w:id="6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A4EB1" w:rsidRPr="009956C4" w:rsidRDefault="000A4EB1" w:rsidP="000A4EB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A4EB1" w:rsidRPr="009956C4" w:rsidRDefault="000A4EB1" w:rsidP="000A4EB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0A4EB1" w:rsidRPr="009956C4" w:rsidRDefault="000A4EB1" w:rsidP="000A4EB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A4EB1" w:rsidRPr="009956C4" w:rsidRDefault="000A4EB1" w:rsidP="00CF139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0A4EB1" w:rsidRPr="009956C4" w:rsidRDefault="000A4EB1" w:rsidP="000A4EB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0A4EB1" w:rsidRPr="009956C4" w:rsidRDefault="000A4EB1" w:rsidP="000A4EB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A4EB1" w:rsidRPr="009956C4" w:rsidRDefault="000A4EB1" w:rsidP="00CF1391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0A4EB1" w:rsidRPr="009956C4" w:rsidRDefault="000A4EB1" w:rsidP="000A4EB1">
      <w:pPr>
        <w:jc w:val="right"/>
        <w:rPr>
          <w:rFonts w:ascii="Arial" w:hAnsi="Arial" w:cs="Arial"/>
          <w:lang w:val="es-BO"/>
        </w:rPr>
      </w:pPr>
    </w:p>
    <w:p w:rsidR="000A4EB1" w:rsidRDefault="000A4EB1" w:rsidP="000A4EB1">
      <w:pPr>
        <w:ind w:firstLine="709"/>
        <w:rPr>
          <w:rFonts w:cs="Arial"/>
          <w:sz w:val="18"/>
          <w:szCs w:val="18"/>
          <w:lang w:val="es-BO"/>
        </w:rPr>
      </w:pPr>
    </w:p>
    <w:p w:rsidR="000A4EB1" w:rsidRPr="009956C4" w:rsidRDefault="000A4EB1" w:rsidP="000A4EB1">
      <w:pPr>
        <w:ind w:firstLine="709"/>
        <w:jc w:val="both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0A4EB1" w:rsidRDefault="000A4EB1" w:rsidP="000A4EB1">
      <w:pPr>
        <w:ind w:left="709"/>
        <w:jc w:val="both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0A4EB1" w:rsidRPr="009956C4" w:rsidRDefault="000A4EB1" w:rsidP="000A4EB1">
      <w:pPr>
        <w:ind w:left="709"/>
        <w:rPr>
          <w:rFonts w:cs="Arial"/>
          <w:b/>
          <w:i/>
          <w:sz w:val="18"/>
          <w:szCs w:val="18"/>
          <w:lang w:val="es-BO"/>
        </w:rPr>
      </w:pPr>
    </w:p>
    <w:tbl>
      <w:tblPr>
        <w:tblpPr w:leftFromText="141" w:rightFromText="141" w:vertAnchor="text" w:horzAnchor="margin" w:tblpXSpec="center" w:tblpY="90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A4EB1" w:rsidRPr="009956C4" w:rsidTr="000A4EB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A4EB1" w:rsidRPr="009956C4" w:rsidTr="000A4EB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F347A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57084">
              <w:rPr>
                <w:rFonts w:ascii="Arial" w:hAnsi="Arial" w:cs="Arial"/>
                <w:b/>
                <w:i/>
                <w:sz w:val="12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4EB1" w:rsidRPr="009956C4" w:rsidTr="000A4EB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4EB1" w:rsidRPr="009956C4" w:rsidTr="000A4EB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52461D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(Sala de Apertura de Sobres – Of. de ENDE) o </w:t>
            </w:r>
          </w:p>
          <w:p w:rsidR="000A4EB1" w:rsidRPr="0052461D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762BE">
              <w:rPr>
                <w:rFonts w:ascii="Arial" w:hAnsi="Arial" w:cs="Arial"/>
                <w:b/>
                <w:i/>
                <w:sz w:val="12"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4EB1" w:rsidRPr="009956C4" w:rsidTr="000A4EB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9956C4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9956C4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9956C4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A244D6" w:rsidTr="000A4EB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A4EB1" w:rsidRPr="00A244D6" w:rsidTr="000A4EB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A4EB1" w:rsidRPr="00A244D6" w:rsidRDefault="000A4EB1" w:rsidP="000A4E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A4EB1" w:rsidRPr="00A244D6" w:rsidRDefault="000A4EB1" w:rsidP="000A4E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A4EB1" w:rsidRPr="00A244D6" w:rsidTr="000A4EB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A4EB1" w:rsidRPr="00A244D6" w:rsidRDefault="000A4EB1" w:rsidP="000A4E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4EB1" w:rsidRPr="00A244D6" w:rsidRDefault="000A4EB1" w:rsidP="000A4E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EB1" w:rsidRPr="00A244D6" w:rsidRDefault="000A4EB1" w:rsidP="000A4E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A4EB1" w:rsidRPr="00A244D6" w:rsidRDefault="000A4EB1" w:rsidP="000A4E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0A4EB1" w:rsidRPr="009956C4" w:rsidRDefault="000A4EB1" w:rsidP="000A4EB1">
      <w:pPr>
        <w:jc w:val="right"/>
        <w:rPr>
          <w:rFonts w:ascii="Arial" w:hAnsi="Arial" w:cs="Arial"/>
          <w:lang w:val="es-BO"/>
        </w:rPr>
      </w:pPr>
    </w:p>
    <w:p w:rsidR="000A4EB1" w:rsidRPr="00A244D6" w:rsidRDefault="000A4EB1" w:rsidP="000A4EB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0A4EB1" w:rsidRPr="0077744B" w:rsidRDefault="000A4EB1" w:rsidP="000A4EB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0A4EB1" w:rsidRDefault="000A4EB1" w:rsidP="000A4EB1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0A4EB1" w:rsidRDefault="000A4EB1" w:rsidP="000A4EB1">
      <w:pPr>
        <w:rPr>
          <w:lang w:val="es-BO"/>
        </w:rPr>
      </w:pPr>
    </w:p>
    <w:p w:rsidR="00D97F30" w:rsidRPr="000A4EB1" w:rsidRDefault="00D97F30">
      <w:pPr>
        <w:rPr>
          <w:lang w:val="es-BO"/>
        </w:rPr>
      </w:pPr>
    </w:p>
    <w:sectPr w:rsidR="00D97F30" w:rsidRPr="000A4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B1"/>
    <w:rsid w:val="000A4EB1"/>
    <w:rsid w:val="00D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3524-7439-48D0-9291-64FADE0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4EB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A4EB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A4EB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0A4EB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0A4EB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A4EB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A4EB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A4EB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A4EB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EB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4EB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4EB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A4EB1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0A4EB1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A4EB1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0A4EB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A4EB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A4EB1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A4EB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A4EB1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0A4EB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A4EB1"/>
    <w:rPr>
      <w:color w:val="0000FF"/>
      <w:u w:val="single"/>
    </w:rPr>
  </w:style>
  <w:style w:type="paragraph" w:styleId="Encabezado">
    <w:name w:val="header"/>
    <w:basedOn w:val="Normal"/>
    <w:link w:val="EncabezadoCar"/>
    <w:rsid w:val="000A4E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4EB1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A4E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B1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0A4EB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A4EB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A4EB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A4EB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A4EB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A4EB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0A4EB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A4EB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A4EB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0A4EB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A4EB1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0A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4EB1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0A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0A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0A4E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A4EB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A4EB1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0A4EB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A4EB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A4E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A4EB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A4EB1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0A4EB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0A4EB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0A4EB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A4EB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A4EB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A4EB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A4EB1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0A4EB1"/>
    <w:rPr>
      <w:vertAlign w:val="superscript"/>
    </w:rPr>
  </w:style>
  <w:style w:type="paragraph" w:customStyle="1" w:styleId="BodyText21">
    <w:name w:val="Body Text 21"/>
    <w:basedOn w:val="Normal"/>
    <w:rsid w:val="000A4EB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A4EB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A4EB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A4EB1"/>
  </w:style>
  <w:style w:type="paragraph" w:customStyle="1" w:styleId="Document1">
    <w:name w:val="Document 1"/>
    <w:rsid w:val="000A4EB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A4EB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4EB1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0A4EB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A4EB1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0A4EB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A4EB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0A4EB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A4EB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A4EB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A4EB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A4EB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A4EB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A4EB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0A4EB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0A4EB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A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0A4EB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A4EB1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0A4EB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A4EB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A4EB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0A4EB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A4EB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A4EB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A4EB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A4EB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0A4EB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A4EB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0A4EB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0A4EB1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A4EB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A4EB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A4EB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A4EB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</cp:revision>
  <dcterms:created xsi:type="dcterms:W3CDTF">2021-10-01T15:40:00Z</dcterms:created>
  <dcterms:modified xsi:type="dcterms:W3CDTF">2021-10-01T15:41:00Z</dcterms:modified>
</cp:coreProperties>
</file>