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28" w:rsidRPr="009956C4" w:rsidRDefault="00101428" w:rsidP="00101428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101428" w:rsidRPr="009956C4" w:rsidRDefault="00101428" w:rsidP="00101428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01428" w:rsidRPr="009956C4" w:rsidRDefault="00101428" w:rsidP="00101428">
      <w:pPr>
        <w:jc w:val="center"/>
        <w:rPr>
          <w:rFonts w:cs="Arial"/>
          <w:b/>
          <w:sz w:val="4"/>
          <w:szCs w:val="18"/>
          <w:lang w:val="es-BO"/>
        </w:rPr>
      </w:pPr>
    </w:p>
    <w:p w:rsidR="00101428" w:rsidRPr="009956C4" w:rsidRDefault="00101428" w:rsidP="00101428">
      <w:pPr>
        <w:jc w:val="both"/>
        <w:rPr>
          <w:rFonts w:cs="Arial"/>
          <w:sz w:val="2"/>
          <w:szCs w:val="18"/>
          <w:lang w:val="es-BO"/>
        </w:rPr>
      </w:pPr>
    </w:p>
    <w:p w:rsidR="00101428" w:rsidRPr="009956C4" w:rsidRDefault="00101428" w:rsidP="00101428">
      <w:pPr>
        <w:jc w:val="both"/>
        <w:rPr>
          <w:rFonts w:cs="Arial"/>
          <w:sz w:val="2"/>
          <w:szCs w:val="18"/>
          <w:lang w:val="es-BO"/>
        </w:rPr>
      </w:pPr>
    </w:p>
    <w:p w:rsidR="00101428" w:rsidRPr="009956C4" w:rsidRDefault="00101428" w:rsidP="00101428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01428" w:rsidRPr="009956C4" w:rsidTr="007C2E3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01428" w:rsidRPr="009956C4" w:rsidRDefault="00101428" w:rsidP="0010142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101428" w:rsidRPr="009956C4" w:rsidTr="007C2E3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101428" w:rsidRPr="009956C4" w:rsidTr="007C2E3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  <w:r w:rsidRPr="00EB77C6">
              <w:rPr>
                <w:rFonts w:ascii="Arial" w:hAnsi="Arial" w:cs="Arial"/>
                <w:sz w:val="12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</w:tr>
      <w:tr w:rsidR="00101428" w:rsidRPr="009956C4" w:rsidTr="007C2E3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6F5783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ENDE-ANPE-2021-151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</w:tr>
      <w:tr w:rsidR="00101428" w:rsidRPr="009956C4" w:rsidTr="007C2E3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101428" w:rsidRPr="009956C4" w:rsidTr="007C2E3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245DE9" w:rsidRDefault="00101428" w:rsidP="007C2E36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245DE9" w:rsidRDefault="00101428" w:rsidP="007C2E36">
            <w:pPr>
              <w:rPr>
                <w:rFonts w:ascii="Arial" w:hAnsi="Arial" w:cs="Arial"/>
                <w:sz w:val="14"/>
              </w:rPr>
            </w:pPr>
            <w:r w:rsidRPr="00245DE9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245DE9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245DE9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245DE9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245DE9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357"/>
        <w:gridCol w:w="290"/>
        <w:gridCol w:w="291"/>
        <w:gridCol w:w="285"/>
        <w:gridCol w:w="287"/>
        <w:gridCol w:w="286"/>
        <w:gridCol w:w="310"/>
        <w:gridCol w:w="287"/>
        <w:gridCol w:w="287"/>
        <w:gridCol w:w="287"/>
        <w:gridCol w:w="285"/>
        <w:gridCol w:w="285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57"/>
      </w:tblGrid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trHeight w:val="227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0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1C3651">
              <w:rPr>
                <w:rFonts w:ascii="Arial" w:hAnsi="Arial" w:cs="Arial"/>
                <w:sz w:val="14"/>
              </w:rPr>
              <w:t>ADQUISICIÓN DE MEDIDORES Y FERRETERIA DE ACOMETIDAS SISTEMA RIBERALTA – GESTION 2021</w:t>
            </w:r>
            <w:r w:rsidRPr="001C3651">
              <w:rPr>
                <w:rFonts w:ascii="Arial" w:hAnsi="Arial" w:cs="Arial"/>
                <w:sz w:val="14"/>
              </w:rPr>
              <w:tab/>
            </w: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3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8" w:type="dxa"/>
            <w:gridSpan w:val="10"/>
            <w:tcBorders>
              <w:lef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0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1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9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7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5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Default="00101428" w:rsidP="007C2E3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101428" w:rsidRDefault="00101428" w:rsidP="007C2E3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7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3055"/>
              <w:gridCol w:w="895"/>
              <w:gridCol w:w="1116"/>
              <w:gridCol w:w="1089"/>
              <w:gridCol w:w="1078"/>
            </w:tblGrid>
            <w:tr w:rsidR="00101428" w:rsidRPr="006A2D84" w:rsidTr="007C2E36">
              <w:trPr>
                <w:trHeight w:val="615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6A2D84" w:rsidRDefault="00101428" w:rsidP="007C2E3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A2D8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6A2D84" w:rsidRDefault="00101428" w:rsidP="007C2E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CONCEPTO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6A2D84" w:rsidRDefault="00101428" w:rsidP="007C2E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6A2D84" w:rsidRDefault="00101428" w:rsidP="007C2E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CANTIDAD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6A2D84" w:rsidRDefault="00101428" w:rsidP="007C2E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UNITARIO (Bs.)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6A2D84" w:rsidRDefault="00101428" w:rsidP="007C2E36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2D8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PRECIO TOTAL (Bs.)</w:t>
                  </w:r>
                </w:p>
              </w:tc>
            </w:tr>
            <w:tr w:rsidR="00101428" w:rsidRPr="006A2D84" w:rsidTr="007C2E36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Medidor electrónico de energía eléctrica monofásico 220 v, 5 (100) 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965,00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99,00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95.535,00</w:t>
                  </w:r>
                </w:p>
              </w:tc>
            </w:tr>
            <w:tr w:rsidR="00101428" w:rsidRPr="006A2D84" w:rsidTr="007C2E36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0316D3" w:rsidRDefault="00101428" w:rsidP="007C2E36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  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Cable Duplex Nº 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Mts</w:t>
                  </w:r>
                  <w:proofErr w:type="spellEnd"/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24.125,00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3,26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78.647,50</w:t>
                  </w:r>
                </w:p>
              </w:tc>
            </w:tr>
            <w:tr w:rsidR="00101428" w:rsidRPr="006A2D84" w:rsidTr="007C2E36">
              <w:trPr>
                <w:trHeight w:val="42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Conector Paralelo de un perno Bimetalico para acometida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765,00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9,00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6.885,00</w:t>
                  </w:r>
                </w:p>
              </w:tc>
            </w:tr>
            <w:tr w:rsidR="00101428" w:rsidRPr="006A2D84" w:rsidTr="007C2E36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Conector Paralelo Grampa Aislada para Acometida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765,00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11.276,10</w:t>
                  </w:r>
                </w:p>
              </w:tc>
            </w:tr>
            <w:tr w:rsidR="00101428" w:rsidRPr="006A2D84" w:rsidTr="007C2E36">
              <w:trPr>
                <w:trHeight w:val="419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Preforme final de línea para Cable Nº 8 ACSR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1.530,00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4,70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7.191,00</w:t>
                  </w:r>
                </w:p>
              </w:tc>
            </w:tr>
            <w:tr w:rsidR="00101428" w:rsidRPr="006A2D84" w:rsidTr="007C2E36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1428" w:rsidRDefault="00101428" w:rsidP="007C2E36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428" w:rsidRPr="00EE49F2" w:rsidRDefault="00101428" w:rsidP="007C2E36">
                  <w:pPr>
                    <w:spacing w:line="276" w:lineRule="auto"/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Tuerca  Ojal  5/8"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428" w:rsidRDefault="00101428" w:rsidP="007C2E36">
                  <w:pPr>
                    <w:jc w:val="center"/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230,00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428" w:rsidRPr="007F0D6A" w:rsidRDefault="00101428" w:rsidP="007C2E36">
                  <w:pPr>
                    <w:jc w:val="center"/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428" w:rsidRPr="003C16E4" w:rsidRDefault="00101428" w:rsidP="007C2E36">
                  <w:pPr>
                    <w:jc w:val="center"/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2.930,20</w:t>
                  </w:r>
                </w:p>
              </w:tc>
            </w:tr>
            <w:tr w:rsidR="00101428" w:rsidRPr="006A2D84" w:rsidTr="007C2E36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428" w:rsidRPr="000316D3" w:rsidRDefault="00101428" w:rsidP="007C2E36">
                  <w:pP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C40334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spacing w:line="276" w:lineRule="auto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4033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Precintos de Seguridad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Pza.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3.860,00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2,95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428" w:rsidRPr="000316D3" w:rsidRDefault="00101428" w:rsidP="007C2E36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 w:rsidRPr="00C40334">
                    <w:rPr>
                      <w:rFonts w:ascii="Tahoma" w:hAnsi="Tahoma" w:cs="Tahoma"/>
                      <w:sz w:val="20"/>
                      <w:szCs w:val="20"/>
                    </w:rPr>
                    <w:t>11.387,00</w:t>
                  </w:r>
                </w:p>
              </w:tc>
            </w:tr>
          </w:tbl>
          <w:p w:rsidR="00101428" w:rsidRDefault="00101428" w:rsidP="007C2E3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101428" w:rsidRPr="009956C4" w:rsidRDefault="00101428" w:rsidP="007C2E3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trHeight w:val="240"/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568" w:type="dxa"/>
            <w:gridSpan w:val="16"/>
            <w:tcBorders>
              <w:left w:val="single" w:sz="4" w:space="0" w:color="auto"/>
            </w:tcBorders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F14DA">
              <w:rPr>
                <w:rFonts w:ascii="Arial" w:hAnsi="Arial" w:cs="Arial"/>
                <w:b/>
                <w:i/>
                <w:sz w:val="14"/>
              </w:rPr>
              <w:t>(3</w:t>
            </w:r>
            <w:r>
              <w:rPr>
                <w:rFonts w:ascii="Arial" w:hAnsi="Arial" w:cs="Arial"/>
                <w:b/>
                <w:i/>
                <w:sz w:val="14"/>
              </w:rPr>
              <w:t>0</w:t>
            </w:r>
            <w:r w:rsidRPr="003F14DA">
              <w:rPr>
                <w:rFonts w:ascii="Arial" w:hAnsi="Arial" w:cs="Arial"/>
                <w:b/>
                <w:i/>
                <w:sz w:val="14"/>
              </w:rPr>
              <w:t xml:space="preserve">) días calendario </w:t>
            </w:r>
            <w:r w:rsidRPr="00184E6A">
              <w:rPr>
                <w:rFonts w:ascii="Arial" w:hAnsi="Arial" w:cs="Arial"/>
                <w:b/>
                <w:i/>
                <w:sz w:val="14"/>
              </w:rPr>
              <w:t>computables a partir del siguiente día hábil de la firma del contrato, pudiendo ofertar plazos menores de entrega.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nil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06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068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02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5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9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01428" w:rsidRPr="009956C4" w:rsidTr="007C2E3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01428" w:rsidRPr="009956C4" w:rsidTr="007C2E36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101428" w:rsidRPr="009956C4" w:rsidRDefault="00101428" w:rsidP="007C2E3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F41C66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  <w:r w:rsidRPr="00EC7739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4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01428" w:rsidRPr="009956C4" w:rsidTr="007C2E3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01428" w:rsidRPr="009956C4" w:rsidRDefault="00101428" w:rsidP="0010142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</w:rPr>
              <w:t xml:space="preserve">Calle Colombia casi esquina </w:t>
            </w:r>
            <w:proofErr w:type="spellStart"/>
            <w:r w:rsidRPr="00EC7739">
              <w:rPr>
                <w:rFonts w:ascii="Arial" w:hAnsi="Arial" w:cs="Arial"/>
              </w:rPr>
              <w:t>Falsuri</w:t>
            </w:r>
            <w:proofErr w:type="spellEnd"/>
            <w:r w:rsidRPr="00EC7739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  <w:r w:rsidRPr="00EC7739">
              <w:rPr>
                <w:rFonts w:ascii="Arial" w:hAnsi="Arial" w:cs="Arial"/>
                <w:sz w:val="12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  <w:r w:rsidRPr="00D26AA9">
              <w:rPr>
                <w:rFonts w:ascii="Arial" w:hAnsi="Arial" w:cs="Arial"/>
              </w:rPr>
              <w:t xml:space="preserve">Ing. </w:t>
            </w:r>
            <w:proofErr w:type="spellStart"/>
            <w:r w:rsidRPr="00D26AA9">
              <w:rPr>
                <w:rFonts w:ascii="Arial" w:hAnsi="Arial" w:cs="Arial"/>
              </w:rPr>
              <w:t>Roiman</w:t>
            </w:r>
            <w:proofErr w:type="spellEnd"/>
            <w:r w:rsidRPr="00D26AA9">
              <w:rPr>
                <w:rFonts w:ascii="Arial" w:hAnsi="Arial" w:cs="Arial"/>
              </w:rPr>
              <w:t xml:space="preserve"> Vallejos </w:t>
            </w:r>
            <w:proofErr w:type="spellStart"/>
            <w:r w:rsidRPr="00D26AA9">
              <w:rPr>
                <w:rFonts w:ascii="Arial" w:hAnsi="Arial" w:cs="Arial"/>
              </w:rPr>
              <w:t>Limon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  <w:r w:rsidRPr="00F67C2B">
              <w:rPr>
                <w:rFonts w:ascii="Arial" w:hAnsi="Arial" w:cs="Arial"/>
              </w:rPr>
              <w:t xml:space="preserve">Profesional </w:t>
            </w:r>
            <w:r>
              <w:rPr>
                <w:rFonts w:ascii="Arial" w:hAnsi="Arial" w:cs="Arial"/>
              </w:rPr>
              <w:t>J</w:t>
            </w:r>
            <w:r w:rsidRPr="00F67C2B">
              <w:rPr>
                <w:rFonts w:ascii="Arial" w:hAnsi="Arial" w:cs="Arial"/>
              </w:rPr>
              <w:t xml:space="preserve">unior </w:t>
            </w:r>
            <w:r>
              <w:rPr>
                <w:rFonts w:ascii="Arial" w:hAnsi="Arial" w:cs="Arial"/>
              </w:rPr>
              <w:t xml:space="preserve">- </w:t>
            </w:r>
            <w:r w:rsidRPr="00F67C2B">
              <w:rPr>
                <w:rFonts w:ascii="Arial" w:hAnsi="Arial" w:cs="Arial"/>
              </w:rPr>
              <w:t>GOSE 6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 –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1519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roiman.vallejos</w:t>
            </w:r>
            <w:r w:rsidRPr="0075797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1428" w:rsidRPr="009956C4" w:rsidRDefault="00101428" w:rsidP="007C2E36">
            <w:pPr>
              <w:rPr>
                <w:rFonts w:ascii="Arial" w:hAnsi="Arial" w:cs="Arial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1428" w:rsidRPr="009956C4" w:rsidTr="007C2E36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402294" w:rsidRDefault="00101428" w:rsidP="007C2E3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AF6698" w:rsidRDefault="00101428" w:rsidP="007C2E36">
            <w:pPr>
              <w:rPr>
                <w:rFonts w:ascii="Arial" w:hAnsi="Arial" w:cs="Arial"/>
              </w:rPr>
            </w:pPr>
            <w:r w:rsidRPr="00AF6698">
              <w:rPr>
                <w:rFonts w:ascii="Arial" w:hAnsi="Arial" w:cs="Arial"/>
              </w:rPr>
              <w:t>(NO APLICA)</w:t>
            </w:r>
          </w:p>
          <w:p w:rsidR="00101428" w:rsidRPr="00AF6698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1428" w:rsidRPr="009956C4" w:rsidTr="007C2E36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01428" w:rsidRPr="009956C4" w:rsidTr="007C2E36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01428" w:rsidRPr="009956C4" w:rsidRDefault="00101428" w:rsidP="007C2E3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101428" w:rsidRPr="00A9233F" w:rsidRDefault="00101428" w:rsidP="00101428">
      <w:pPr>
        <w:rPr>
          <w:lang w:val="es-BO"/>
        </w:rPr>
      </w:pPr>
      <w:bookmarkStart w:id="3" w:name="_Toc61869922"/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C76AC0" w:rsidRDefault="00C76AC0" w:rsidP="00101428">
      <w:pPr>
        <w:rPr>
          <w:lang w:val="es-BO"/>
        </w:rPr>
      </w:pPr>
    </w:p>
    <w:p w:rsidR="00C76AC0" w:rsidRDefault="00C76AC0" w:rsidP="00101428">
      <w:pPr>
        <w:rPr>
          <w:lang w:val="es-BO"/>
        </w:rPr>
      </w:pPr>
    </w:p>
    <w:p w:rsidR="00C76AC0" w:rsidRDefault="00C76AC0" w:rsidP="00101428">
      <w:pPr>
        <w:rPr>
          <w:lang w:val="es-BO"/>
        </w:rPr>
      </w:pPr>
    </w:p>
    <w:p w:rsidR="00C76AC0" w:rsidRDefault="00C76AC0" w:rsidP="00101428">
      <w:pPr>
        <w:rPr>
          <w:lang w:val="es-BO"/>
        </w:rPr>
      </w:pPr>
    </w:p>
    <w:p w:rsidR="00C76AC0" w:rsidRDefault="00C76AC0" w:rsidP="00101428">
      <w:pPr>
        <w:rPr>
          <w:lang w:val="es-BO"/>
        </w:rPr>
      </w:pPr>
    </w:p>
    <w:p w:rsidR="00C76AC0" w:rsidRDefault="00C76AC0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Pr="009956C4" w:rsidRDefault="00101428" w:rsidP="00101428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101428" w:rsidRPr="009956C4" w:rsidRDefault="00101428" w:rsidP="00101428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01428" w:rsidRPr="009956C4" w:rsidTr="007C2E36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28" w:rsidRPr="009956C4" w:rsidRDefault="00101428" w:rsidP="007C2E3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01428" w:rsidRPr="009956C4" w:rsidRDefault="00101428" w:rsidP="0010142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101428" w:rsidRPr="009956C4" w:rsidRDefault="00101428" w:rsidP="00101428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101428" w:rsidRPr="009956C4" w:rsidRDefault="00101428" w:rsidP="00101428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01428" w:rsidRPr="009956C4" w:rsidRDefault="00101428" w:rsidP="007C2E3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101428" w:rsidRPr="009956C4" w:rsidRDefault="00101428" w:rsidP="0010142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01428" w:rsidRPr="009956C4" w:rsidRDefault="00101428" w:rsidP="0010142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01428" w:rsidRPr="009956C4" w:rsidRDefault="00101428" w:rsidP="007C2E3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101428" w:rsidRPr="009956C4" w:rsidRDefault="00101428" w:rsidP="00101428">
      <w:pPr>
        <w:jc w:val="right"/>
        <w:rPr>
          <w:rFonts w:ascii="Arial" w:hAnsi="Arial" w:cs="Arial"/>
          <w:lang w:val="es-BO"/>
        </w:rPr>
      </w:pPr>
    </w:p>
    <w:p w:rsidR="00101428" w:rsidRDefault="00101428" w:rsidP="00101428">
      <w:pPr>
        <w:ind w:firstLine="709"/>
        <w:rPr>
          <w:rFonts w:cs="Arial"/>
          <w:sz w:val="18"/>
          <w:szCs w:val="18"/>
          <w:lang w:val="es-BO"/>
        </w:rPr>
      </w:pPr>
    </w:p>
    <w:p w:rsidR="00101428" w:rsidRPr="009956C4" w:rsidRDefault="00101428" w:rsidP="00101428">
      <w:pPr>
        <w:ind w:firstLine="709"/>
        <w:jc w:val="both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101428" w:rsidRDefault="00101428" w:rsidP="00101428">
      <w:pPr>
        <w:ind w:left="709"/>
        <w:jc w:val="both"/>
        <w:rPr>
          <w:rFonts w:cs="Arial"/>
          <w:b/>
          <w:i/>
          <w:sz w:val="18"/>
          <w:szCs w:val="18"/>
          <w:lang w:val="es-BO"/>
        </w:rPr>
      </w:pPr>
      <w:r w:rsidRPr="009956C4">
        <w:rPr>
          <w:rFonts w:cs="Arial"/>
          <w:b/>
          <w:i/>
          <w:sz w:val="18"/>
          <w:szCs w:val="18"/>
          <w:lang w:val="es-BO"/>
        </w:rPr>
        <w:t>(Utilizar el siguiente cronograma de plazos en caso de que el método de selección y adjudicación sea precio evaluado más bajo, de lo contrario suprimir el mismo)</w:t>
      </w:r>
    </w:p>
    <w:p w:rsidR="00101428" w:rsidRPr="009956C4" w:rsidRDefault="00101428" w:rsidP="00101428">
      <w:pPr>
        <w:ind w:left="709"/>
        <w:rPr>
          <w:rFonts w:cs="Arial"/>
          <w:b/>
          <w:i/>
          <w:sz w:val="18"/>
          <w:szCs w:val="18"/>
          <w:lang w:val="es-BO"/>
        </w:rPr>
      </w:pPr>
    </w:p>
    <w:p w:rsidR="00101428" w:rsidRPr="009956C4" w:rsidRDefault="00101428" w:rsidP="00101428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01428" w:rsidRPr="009956C4" w:rsidTr="007C2E36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01428" w:rsidRPr="009956C4" w:rsidTr="007C2E36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F347A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F347A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F347A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57084">
              <w:rPr>
                <w:rFonts w:ascii="Arial" w:hAnsi="Arial" w:cs="Arial"/>
                <w:b/>
                <w:i/>
                <w:sz w:val="12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1428" w:rsidRPr="009956C4" w:rsidTr="007C2E36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1428" w:rsidRPr="009956C4" w:rsidTr="007C2E36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52461D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(Sala de Apertura de Sobres – Of. de ENDE) o </w:t>
            </w:r>
          </w:p>
          <w:p w:rsidR="00101428" w:rsidRPr="0052461D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52461D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762BE">
              <w:rPr>
                <w:rFonts w:ascii="Arial" w:hAnsi="Arial" w:cs="Arial"/>
                <w:b/>
                <w:i/>
                <w:sz w:val="12"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1428" w:rsidRPr="009956C4" w:rsidTr="007C2E36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9956C4" w:rsidTr="007C2E3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9956C4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C76AC0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9956C4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A244D6" w:rsidTr="007C2E3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1428" w:rsidRPr="00A244D6" w:rsidTr="007C2E3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01428" w:rsidRPr="00A244D6" w:rsidRDefault="00101428" w:rsidP="007C2E3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1428" w:rsidRPr="00A244D6" w:rsidRDefault="00101428" w:rsidP="007C2E3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  <w:bookmarkStart w:id="6" w:name="_GoBack"/>
            <w:bookmarkEnd w:id="6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1428" w:rsidRPr="00A244D6" w:rsidTr="007C2E36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01428" w:rsidRPr="00A244D6" w:rsidRDefault="00101428" w:rsidP="007C2E3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01428" w:rsidRPr="00A244D6" w:rsidRDefault="00101428" w:rsidP="007C2E3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1428" w:rsidRPr="00A244D6" w:rsidRDefault="00101428" w:rsidP="007C2E3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1428" w:rsidRPr="00A244D6" w:rsidRDefault="00101428" w:rsidP="007C2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101428" w:rsidRPr="00A244D6" w:rsidRDefault="00101428" w:rsidP="0010142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 xml:space="preserve"> (*) Los plazos del proceso de contratación se computarán a partir del día siguiente hábil de la publicación en el SICOES</w:t>
      </w:r>
    </w:p>
    <w:p w:rsidR="00101428" w:rsidRPr="0077744B" w:rsidRDefault="00101428" w:rsidP="0010142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101428" w:rsidRDefault="00101428" w:rsidP="00101428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101428" w:rsidRDefault="00101428" w:rsidP="00101428">
      <w:pPr>
        <w:rPr>
          <w:lang w:val="es-BO"/>
        </w:rPr>
      </w:pPr>
    </w:p>
    <w:p w:rsidR="00336C69" w:rsidRPr="00101428" w:rsidRDefault="00336C69">
      <w:pPr>
        <w:rPr>
          <w:lang w:val="es-BO"/>
        </w:rPr>
      </w:pPr>
    </w:p>
    <w:sectPr w:rsidR="00336C69" w:rsidRPr="00101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0"/>
    <w:rsid w:val="00101428"/>
    <w:rsid w:val="00336C69"/>
    <w:rsid w:val="00390930"/>
    <w:rsid w:val="00C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A97E-DD15-47F3-9512-1A1A2E2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2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42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0142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0142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0142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0142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0142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0142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0142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0142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142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0142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0142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01428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10142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0142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10142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014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01428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0142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01428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10142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01428"/>
    <w:rPr>
      <w:color w:val="0000FF"/>
      <w:u w:val="single"/>
    </w:rPr>
  </w:style>
  <w:style w:type="paragraph" w:styleId="Encabezado">
    <w:name w:val="header"/>
    <w:basedOn w:val="Normal"/>
    <w:link w:val="EncabezadoCar"/>
    <w:rsid w:val="00101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1428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101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428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0142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0142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0142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0142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0142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0142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0142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0142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014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10142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0142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1014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1428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0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01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10142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0142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01428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10142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014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014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0142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01428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10142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0142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10142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0142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0142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0142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01428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101428"/>
    <w:rPr>
      <w:vertAlign w:val="superscript"/>
    </w:rPr>
  </w:style>
  <w:style w:type="paragraph" w:customStyle="1" w:styleId="BodyText21">
    <w:name w:val="Body Text 21"/>
    <w:basedOn w:val="Normal"/>
    <w:rsid w:val="0010142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0142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0142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01428"/>
  </w:style>
  <w:style w:type="paragraph" w:customStyle="1" w:styleId="Document1">
    <w:name w:val="Document 1"/>
    <w:rsid w:val="0010142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0142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1428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10142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1428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10142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01428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10142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0142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0142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0142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0142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0142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0142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0142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0142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0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10142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01428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10142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0142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10142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10142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0142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014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10142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0142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0142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0142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0142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101428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014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014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014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014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3</cp:revision>
  <dcterms:created xsi:type="dcterms:W3CDTF">2021-10-04T19:24:00Z</dcterms:created>
  <dcterms:modified xsi:type="dcterms:W3CDTF">2021-10-04T19:47:00Z</dcterms:modified>
</cp:coreProperties>
</file>