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409D" w14:textId="33AE5F90" w:rsidR="00D00B1E" w:rsidRPr="009956C4" w:rsidRDefault="00D00B1E" w:rsidP="00D00B1E">
      <w:pPr>
        <w:jc w:val="center"/>
        <w:rPr>
          <w:rFonts w:cs="Arial"/>
          <w:b/>
          <w:sz w:val="18"/>
          <w:szCs w:val="18"/>
          <w:lang w:val="es-BO"/>
        </w:rPr>
      </w:pPr>
      <w:r>
        <w:rPr>
          <w:rFonts w:cs="Arial"/>
          <w:b/>
          <w:sz w:val="18"/>
          <w:szCs w:val="18"/>
          <w:lang w:val="es-BO"/>
        </w:rPr>
        <w:t>CONVOCATORIA</w:t>
      </w:r>
    </w:p>
    <w:p w14:paraId="7A94B03B" w14:textId="77777777" w:rsidR="00D00B1E" w:rsidRPr="009956C4" w:rsidRDefault="00D00B1E" w:rsidP="00D00B1E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14:paraId="3539C889" w14:textId="77777777" w:rsidR="00D00B1E" w:rsidRPr="009956C4" w:rsidRDefault="00D00B1E" w:rsidP="00D00B1E">
      <w:pPr>
        <w:jc w:val="center"/>
        <w:rPr>
          <w:rFonts w:cs="Arial"/>
          <w:b/>
          <w:sz w:val="4"/>
          <w:szCs w:val="18"/>
          <w:lang w:val="es-BO"/>
        </w:rPr>
      </w:pPr>
    </w:p>
    <w:p w14:paraId="04CF086A" w14:textId="77777777" w:rsidR="00D00B1E" w:rsidRPr="009956C4" w:rsidRDefault="00D00B1E" w:rsidP="00D00B1E">
      <w:pPr>
        <w:jc w:val="both"/>
        <w:rPr>
          <w:rFonts w:cs="Arial"/>
          <w:sz w:val="2"/>
          <w:szCs w:val="18"/>
          <w:lang w:val="es-BO"/>
        </w:rPr>
      </w:pPr>
    </w:p>
    <w:p w14:paraId="1582796A" w14:textId="77777777" w:rsidR="00D00B1E" w:rsidRPr="009956C4" w:rsidRDefault="00D00B1E" w:rsidP="00D00B1E">
      <w:pPr>
        <w:jc w:val="both"/>
        <w:rPr>
          <w:rFonts w:cs="Arial"/>
          <w:sz w:val="2"/>
          <w:szCs w:val="18"/>
          <w:lang w:val="es-BO"/>
        </w:rPr>
      </w:pPr>
    </w:p>
    <w:p w14:paraId="4978A61B" w14:textId="77777777" w:rsidR="00D00B1E" w:rsidRDefault="00D00B1E" w:rsidP="00D00B1E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14:paraId="34894867" w14:textId="77777777" w:rsidR="00D00B1E" w:rsidRPr="005B660C" w:rsidRDefault="00D00B1E" w:rsidP="00D00B1E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D00B1E" w:rsidRPr="009956C4" w14:paraId="79BA3BEC" w14:textId="77777777" w:rsidTr="00D00B1E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1AB7528" w14:textId="77777777" w:rsidR="00D00B1E" w:rsidRPr="009956C4" w:rsidRDefault="00D00B1E" w:rsidP="00D00B1E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D00B1E" w:rsidRPr="009956C4" w14:paraId="3BE84C82" w14:textId="77777777" w:rsidTr="00D00B1E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899B601" w14:textId="77777777" w:rsidR="00D00B1E" w:rsidRPr="009956C4" w:rsidRDefault="00D00B1E" w:rsidP="00AA57F8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D00B1E" w:rsidRPr="009956C4" w14:paraId="31101D65" w14:textId="77777777" w:rsidTr="00D00B1E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CBF2B6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2B2802" w14:textId="77777777" w:rsidR="00D00B1E" w:rsidRPr="00AE24B4" w:rsidRDefault="00D00B1E" w:rsidP="00AA57F8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AE24B4">
              <w:rPr>
                <w:rFonts w:ascii="Arial" w:hAnsi="Arial" w:cs="Arial"/>
                <w:sz w:val="20"/>
                <w:szCs w:val="20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2AA79D2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00B1E" w:rsidRPr="009956C4" w14:paraId="0C961A0D" w14:textId="77777777" w:rsidTr="00D00B1E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2448510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9B18CE8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B776ECF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FE2BC76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864DCB9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0748796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1827249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46750D5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A94CE06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9B0A36E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7A987D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38D1F9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DBF9C5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0A033D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2AFA9F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DDA032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57705C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7E5D3B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CB51D1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0E66EF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8FDEE0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466218D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21E089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7AFB819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B363FC4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B39343E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00B1E" w:rsidRPr="009956C4" w14:paraId="7D1D68C7" w14:textId="77777777" w:rsidTr="00D00B1E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720B0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1D44F6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4EB6750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55E728A6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0F582D" w14:textId="77777777" w:rsidR="00D00B1E" w:rsidRPr="0053758C" w:rsidRDefault="00D00B1E" w:rsidP="00AA57F8">
            <w:pPr>
              <w:jc w:val="center"/>
              <w:rPr>
                <w:rFonts w:ascii="Arial" w:hAnsi="Arial" w:cs="Arial"/>
                <w:lang w:val="es-BO"/>
              </w:rPr>
            </w:pPr>
            <w:r w:rsidRPr="0053758C">
              <w:rPr>
                <w:rFonts w:ascii="Arial" w:hAnsi="Arial" w:cs="Arial"/>
                <w:lang w:val="es-BO"/>
              </w:rPr>
              <w:t>ENDE-ANPE(B)-2026-003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7B67118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00B1E" w:rsidRPr="009956C4" w14:paraId="5B08C9B2" w14:textId="77777777" w:rsidTr="00D00B1E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C4989EF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888A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3FABF392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42ABEEEC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F9A721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8D7D31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00B1E" w:rsidRPr="009956C4" w14:paraId="09A68171" w14:textId="77777777" w:rsidTr="00D00B1E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B2E861B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2DBAED9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0CF8A2F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34F4EE43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3655B3B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269B213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BE1579C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EEACF97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2ABE7B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DA3A5D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FDFF23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31DD92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0E0D9E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2D4F98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537B52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AED16E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A53E3A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512C09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131D7F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5F953D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ED01A0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064475F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212BEE2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431C6DB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4A6A8D5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8A7D515" w14:textId="77777777" w:rsidR="00D00B1E" w:rsidRPr="009956C4" w:rsidRDefault="00D00B1E" w:rsidP="00AA57F8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0"/>
        <w:gridCol w:w="787"/>
        <w:gridCol w:w="265"/>
      </w:tblGrid>
      <w:tr w:rsidR="00D00B1E" w:rsidRPr="009956C4" w14:paraId="0B086C88" w14:textId="77777777" w:rsidTr="00AA57F8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C0745C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3CE2F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DCB72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16B830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8E62E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637E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4C557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7886C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4D88A5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400EF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8AC7C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D20453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0D045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6D170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19976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D209C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CF174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BDBB4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C6E94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1F17D6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649C0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6C1A60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0C632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C453AA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76E887FC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B5D4E4" w14:textId="77777777" w:rsidR="00D00B1E" w:rsidRPr="00CC6D88" w:rsidRDefault="00D00B1E" w:rsidP="00AA57F8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C6D88">
              <w:rPr>
                <w:rFonts w:ascii="Arial" w:hAnsi="Arial" w:cs="Arial"/>
                <w:sz w:val="18"/>
                <w:szCs w:val="18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B522E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358"/>
        <w:gridCol w:w="290"/>
        <w:gridCol w:w="291"/>
        <w:gridCol w:w="285"/>
        <w:gridCol w:w="288"/>
        <w:gridCol w:w="287"/>
        <w:gridCol w:w="350"/>
        <w:gridCol w:w="8"/>
        <w:gridCol w:w="278"/>
        <w:gridCol w:w="10"/>
        <w:gridCol w:w="288"/>
        <w:gridCol w:w="288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35"/>
      </w:tblGrid>
      <w:tr w:rsidR="00D00B1E" w:rsidRPr="009956C4" w14:paraId="33540F74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5D385FDE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C2A5E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</w:tcPr>
          <w:p w14:paraId="0463A27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14:paraId="7D5C089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4EC1870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7165139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14:paraId="4DAD8D1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A109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2BEA1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7EBF6D4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10CF6A1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0025205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2B5751E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4FECB9C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47A08A8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4EFE29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31D5A55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C358BD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5D43AE7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088A18E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34E921F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6EC7E8D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063CC5E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6481903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5986E25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A58184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6665F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11638E3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427CE705" w14:textId="77777777" w:rsidTr="00AA57F8">
        <w:trPr>
          <w:trHeight w:val="227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AE19A73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74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EF084A" w14:textId="77777777" w:rsidR="00D00B1E" w:rsidRPr="0053758C" w:rsidRDefault="00D00B1E" w:rsidP="00AA57F8">
            <w:pPr>
              <w:tabs>
                <w:tab w:val="left" w:pos="1634"/>
              </w:tabs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53758C">
              <w:rPr>
                <w:rFonts w:ascii="Arial" w:hAnsi="Arial" w:cs="Arial"/>
                <w:sz w:val="22"/>
                <w:szCs w:val="22"/>
                <w:lang w:val="es-BO"/>
              </w:rPr>
              <w:t>ADQUISICION DE MEDIDORES MONOFASICOS Y FERRETERIA DE ACOMETIDA, SISTEMA DE DISTRIBUCION CAMARGO - GESTION 2026 - UTDI</w:t>
            </w:r>
            <w:r w:rsidRPr="0053758C">
              <w:rPr>
                <w:rFonts w:ascii="Arial" w:hAnsi="Arial" w:cs="Arial"/>
                <w:sz w:val="22"/>
                <w:szCs w:val="22"/>
                <w:lang w:val="es-BO"/>
              </w:rPr>
              <w:tab/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C1DE8E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24FC51B7" w14:textId="77777777" w:rsidTr="00AA57F8">
        <w:trPr>
          <w:trHeight w:val="20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4CB7836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814E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auto"/>
          </w:tcPr>
          <w:p w14:paraId="7D86B4A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14:paraId="33CCBF6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50D8E6A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2C15930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</w:tcPr>
          <w:p w14:paraId="52B523E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2FBBB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4086E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1A83898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434002C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09B7FE2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E519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3EAE1BB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386A75D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673715E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74F976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3713B5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39FF47E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1176896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0B82843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2916401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55A5889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A76320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336AAF6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ED6FED9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FB7FC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2362EBC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3D5E8020" w14:textId="77777777" w:rsidTr="00AA57F8">
        <w:trPr>
          <w:trHeight w:val="20"/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ED7AF3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9099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375" w:type="dxa"/>
            <w:gridSpan w:val="10"/>
            <w:tcBorders>
              <w:left w:val="single" w:sz="4" w:space="0" w:color="auto"/>
            </w:tcBorders>
          </w:tcPr>
          <w:p w14:paraId="5FA1225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88" w:type="dxa"/>
            <w:shd w:val="clear" w:color="auto" w:fill="FFFFFF" w:themeFill="background1"/>
          </w:tcPr>
          <w:p w14:paraId="43AF70E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tcBorders>
              <w:left w:val="nil"/>
              <w:right w:val="single" w:sz="4" w:space="0" w:color="auto"/>
            </w:tcBorders>
          </w:tcPr>
          <w:p w14:paraId="3C8BD73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CD204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0" w:type="dxa"/>
            <w:gridSpan w:val="10"/>
            <w:tcBorders>
              <w:left w:val="single" w:sz="4" w:space="0" w:color="auto"/>
            </w:tcBorders>
          </w:tcPr>
          <w:p w14:paraId="675BBA2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86" w:type="dxa"/>
          </w:tcPr>
          <w:p w14:paraId="45004D4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7A11C4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AC6527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655773E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6707483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D6ABFF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3528FD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16403C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64F2456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00B1E" w:rsidRPr="009956C4" w14:paraId="563D4B3F" w14:textId="77777777" w:rsidTr="00AA57F8">
        <w:trPr>
          <w:trHeight w:val="20"/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D662C6E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03C36BE1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0" w:type="dxa"/>
          </w:tcPr>
          <w:p w14:paraId="7B0E4A36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1" w:type="dxa"/>
          </w:tcPr>
          <w:p w14:paraId="6E41F1A6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5" w:type="dxa"/>
          </w:tcPr>
          <w:p w14:paraId="72E06D34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</w:tcPr>
          <w:p w14:paraId="26CA667E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</w:tcPr>
          <w:p w14:paraId="3DCABA54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8" w:type="dxa"/>
            <w:gridSpan w:val="2"/>
          </w:tcPr>
          <w:p w14:paraId="255AF817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</w:tcPr>
          <w:p w14:paraId="2DEC6073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</w:tcPr>
          <w:p w14:paraId="603CEA4D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</w:tcPr>
          <w:p w14:paraId="1BF5739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2609671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E782912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22CC5DF9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153DE969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3300D5B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657D15F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AC10153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295C8E0B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5EC1FB02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52C772B6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48889B0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BB0B031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4640E50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D85C39F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5FAE52D9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DAD2F7D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803B463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12C1BF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1439E96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CBC45B4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2DCAC03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00B1E" w:rsidRPr="009956C4" w14:paraId="1FDAE612" w14:textId="77777777" w:rsidTr="00AA57F8">
        <w:trPr>
          <w:trHeight w:val="20"/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7C8DBD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563F5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75" w:type="dxa"/>
            <w:gridSpan w:val="10"/>
            <w:tcBorders>
              <w:left w:val="single" w:sz="4" w:space="0" w:color="auto"/>
            </w:tcBorders>
          </w:tcPr>
          <w:p w14:paraId="60C992F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88" w:type="dxa"/>
          </w:tcPr>
          <w:p w14:paraId="3019340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51EDBFE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8E7756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528EE52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EF8E32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D2E2F0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FCFB2D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E0C563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A53743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E9E105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0E683F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661A65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B3680D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4F9850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37258D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4C6A8B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442427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CFC1FC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0F5CD62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78FCE4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62EAA57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5EDB586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00B1E" w:rsidRPr="009956C4" w14:paraId="7DEDFA1F" w14:textId="77777777" w:rsidTr="00AA57F8">
        <w:trPr>
          <w:trHeight w:val="20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2BB9100A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shd w:val="clear" w:color="auto" w:fill="auto"/>
          </w:tcPr>
          <w:p w14:paraId="75A91EC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shd w:val="clear" w:color="auto" w:fill="auto"/>
          </w:tcPr>
          <w:p w14:paraId="740DCB1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shd w:val="clear" w:color="auto" w:fill="auto"/>
          </w:tcPr>
          <w:p w14:paraId="50364B9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4DFEA5E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14:paraId="3D2FD57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shd w:val="clear" w:color="auto" w:fill="auto"/>
          </w:tcPr>
          <w:p w14:paraId="6F1D907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C3D368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14:paraId="33626D9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14:paraId="6213977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14:paraId="24A7A1D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4DF9034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6500C2B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693BD31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371DA13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6BEE45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6449E4B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01D94DC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08889AD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7BA8E6A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19A5562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76E6B11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0B23BB0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74CB046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2B76110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shd w:val="clear" w:color="auto" w:fill="auto"/>
          </w:tcPr>
          <w:p w14:paraId="6B79344E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shd w:val="clear" w:color="auto" w:fill="auto"/>
          </w:tcPr>
          <w:p w14:paraId="23D8759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4224195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7C6461AC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DA16256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46467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4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96F0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F499A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43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0B6C9F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86" w:type="dxa"/>
            <w:shd w:val="clear" w:color="auto" w:fill="FFFFFF" w:themeFill="background1"/>
          </w:tcPr>
          <w:p w14:paraId="5F7015E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  <w:right w:val="single" w:sz="4" w:space="0" w:color="auto"/>
            </w:tcBorders>
          </w:tcPr>
          <w:p w14:paraId="6A05FA3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5CF70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71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37CD83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86" w:type="dxa"/>
            <w:tcBorders>
              <w:left w:val="nil"/>
            </w:tcBorders>
            <w:shd w:val="clear" w:color="auto" w:fill="auto"/>
          </w:tcPr>
          <w:p w14:paraId="277EF98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auto"/>
          </w:tcPr>
          <w:p w14:paraId="4D37176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auto"/>
          </w:tcPr>
          <w:p w14:paraId="55893A6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0C91A06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49C2C73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5060526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1A453A3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6CD6334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707B187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3D65907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36CFEE26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3203FD05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E0E744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</w:tcPr>
          <w:p w14:paraId="6B8F518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14:paraId="7437BFC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19C4E20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311FEAF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14:paraId="3085664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0E71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E338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212B712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1AA1887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41FE05A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492B437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1BC6F7E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3B20449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5FF3094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09B7AEC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6B8D4C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5BC85B0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3059930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776A722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49AADAC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3A97C13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6ADC01F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154365C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A4341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6E79E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04471A7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20925670" w14:textId="77777777" w:rsidTr="00AA57F8">
        <w:trPr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1EFFF3F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74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1FECC0" w14:textId="77777777" w:rsidR="00D00B1E" w:rsidRDefault="00D00B1E" w:rsidP="00AA57F8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  <w:tbl>
            <w:tblPr>
              <w:tblW w:w="85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3444"/>
              <w:gridCol w:w="972"/>
              <w:gridCol w:w="1421"/>
              <w:gridCol w:w="950"/>
              <w:gridCol w:w="1030"/>
            </w:tblGrid>
            <w:tr w:rsidR="00D00B1E" w:rsidRPr="00DB10BE" w14:paraId="0C6B9BDF" w14:textId="77777777" w:rsidTr="00AA57F8">
              <w:trPr>
                <w:trHeight w:val="370"/>
                <w:jc w:val="center"/>
              </w:trPr>
              <w:tc>
                <w:tcPr>
                  <w:tcW w:w="695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14:paraId="16CA6BED" w14:textId="77777777" w:rsidR="00D00B1E" w:rsidRPr="00F472D6" w:rsidRDefault="00D00B1E" w:rsidP="00AA57F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72D6">
                    <w:rPr>
                      <w:rFonts w:ascii="Arial" w:hAnsi="Arial" w:cs="Arial"/>
                      <w:b/>
                      <w:bCs/>
                    </w:rPr>
                    <w:t>Ítem</w:t>
                  </w:r>
                </w:p>
              </w:tc>
              <w:tc>
                <w:tcPr>
                  <w:tcW w:w="3444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14:paraId="6E9B2555" w14:textId="77777777" w:rsidR="00D00B1E" w:rsidRPr="00F472D6" w:rsidRDefault="00D00B1E" w:rsidP="00AA57F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72D6">
                    <w:rPr>
                      <w:rFonts w:ascii="Arial" w:hAnsi="Arial" w:cs="Arial"/>
                      <w:b/>
                      <w:bCs/>
                    </w:rPr>
                    <w:t>Descripción del bien</w:t>
                  </w:r>
                </w:p>
              </w:tc>
              <w:tc>
                <w:tcPr>
                  <w:tcW w:w="972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14:paraId="50F41D99" w14:textId="77777777" w:rsidR="00D00B1E" w:rsidRPr="00F472D6" w:rsidRDefault="00D00B1E" w:rsidP="00AA57F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72D6">
                    <w:rPr>
                      <w:rFonts w:ascii="Arial" w:hAnsi="Arial" w:cs="Arial"/>
                      <w:b/>
                      <w:bCs/>
                    </w:rPr>
                    <w:t>Unid</w:t>
                  </w:r>
                </w:p>
              </w:tc>
              <w:tc>
                <w:tcPr>
                  <w:tcW w:w="1421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14:paraId="402049D4" w14:textId="77777777" w:rsidR="00D00B1E" w:rsidRPr="00F472D6" w:rsidRDefault="00D00B1E" w:rsidP="00AA57F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72D6">
                    <w:rPr>
                      <w:rFonts w:ascii="Arial" w:hAnsi="Arial" w:cs="Arial"/>
                      <w:b/>
                      <w:bCs/>
                    </w:rPr>
                    <w:t>Cantidad solicitada</w:t>
                  </w:r>
                </w:p>
              </w:tc>
              <w:tc>
                <w:tcPr>
                  <w:tcW w:w="95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14:paraId="31BD1C4A" w14:textId="77777777" w:rsidR="00D00B1E" w:rsidRPr="00F472D6" w:rsidRDefault="00D00B1E" w:rsidP="00AA57F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72D6">
                    <w:rPr>
                      <w:rFonts w:ascii="Arial" w:hAnsi="Arial" w:cs="Arial"/>
                      <w:b/>
                      <w:bCs/>
                    </w:rPr>
                    <w:t>Precio referencial unitario</w:t>
                  </w:r>
                </w:p>
              </w:tc>
              <w:tc>
                <w:tcPr>
                  <w:tcW w:w="103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14:paraId="3EF3074B" w14:textId="77777777" w:rsidR="00D00B1E" w:rsidRPr="00F472D6" w:rsidRDefault="00D00B1E" w:rsidP="00AA57F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472D6">
                    <w:rPr>
                      <w:rFonts w:ascii="Arial" w:hAnsi="Arial" w:cs="Arial"/>
                      <w:b/>
                      <w:bCs/>
                    </w:rPr>
                    <w:t>Precio referencial total</w:t>
                  </w:r>
                </w:p>
              </w:tc>
            </w:tr>
            <w:tr w:rsidR="00D00B1E" w:rsidRPr="00DB10BE" w14:paraId="50B43298" w14:textId="77777777" w:rsidTr="00AA57F8">
              <w:trPr>
                <w:trHeight w:val="370"/>
                <w:jc w:val="center"/>
              </w:trPr>
              <w:tc>
                <w:tcPr>
                  <w:tcW w:w="695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17476267" w14:textId="77777777" w:rsidR="00D00B1E" w:rsidRPr="00F472D6" w:rsidRDefault="00D00B1E" w:rsidP="00AA57F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444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2896B939" w14:textId="77777777" w:rsidR="00D00B1E" w:rsidRPr="00F472D6" w:rsidRDefault="00D00B1E" w:rsidP="00AA57F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72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394C9533" w14:textId="77777777" w:rsidR="00D00B1E" w:rsidRPr="00F472D6" w:rsidRDefault="00D00B1E" w:rsidP="00AA57F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21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4A04A908" w14:textId="77777777" w:rsidR="00D00B1E" w:rsidRPr="00F472D6" w:rsidRDefault="00D00B1E" w:rsidP="00AA57F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50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2FD57A23" w14:textId="77777777" w:rsidR="00D00B1E" w:rsidRPr="00F472D6" w:rsidRDefault="00D00B1E" w:rsidP="00AA57F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30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2BBB6F93" w14:textId="77777777" w:rsidR="00D00B1E" w:rsidRPr="00F472D6" w:rsidRDefault="00D00B1E" w:rsidP="00AA57F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00B1E" w:rsidRPr="00DB10BE" w14:paraId="35175CAA" w14:textId="77777777" w:rsidTr="00AA57F8">
              <w:trPr>
                <w:trHeight w:val="317"/>
                <w:jc w:val="center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5C30B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83DF5" w14:textId="77777777" w:rsidR="00D00B1E" w:rsidRPr="00F472D6" w:rsidRDefault="00D00B1E" w:rsidP="00AA57F8">
                  <w:pPr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Medidor monofásico de energía eléctrica 220 v, 5 (100) A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DCC59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Pza.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56558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410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DDA33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145,01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8D2AF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59.454,10</w:t>
                  </w:r>
                </w:p>
              </w:tc>
            </w:tr>
            <w:tr w:rsidR="00D00B1E" w:rsidRPr="00DB10BE" w14:paraId="195B15A2" w14:textId="77777777" w:rsidTr="00AA57F8">
              <w:trPr>
                <w:trHeight w:val="226"/>
                <w:jc w:val="center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ABE79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A0432" w14:textId="77777777" w:rsidR="00D00B1E" w:rsidRPr="00F472D6" w:rsidRDefault="00D00B1E" w:rsidP="00AA57F8">
                  <w:pPr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 xml:space="preserve">Cable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Duplex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 xml:space="preserve">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Nº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 xml:space="preserve"> 8 AWG XLPE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FBCA4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m.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4CE8B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11.000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4AB26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6,13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6A600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67.430,00</w:t>
                  </w:r>
                </w:p>
              </w:tc>
            </w:tr>
            <w:tr w:rsidR="00D00B1E" w:rsidRPr="00DB10BE" w14:paraId="2A54A6BB" w14:textId="77777777" w:rsidTr="00AA57F8">
              <w:trPr>
                <w:trHeight w:val="634"/>
                <w:jc w:val="center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9B434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30C40" w14:textId="77777777" w:rsidR="00D00B1E" w:rsidRPr="00F472D6" w:rsidRDefault="00D00B1E" w:rsidP="00AA57F8">
                  <w:pPr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 xml:space="preserve">Conector paralelo de un perno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Bimetalico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 xml:space="preserve"> para acometida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Princ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 xml:space="preserve">. 10-2/0 AWG CA / 6-1/0 AWG CAA;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Deriv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>. 10-2/0 AWG CA - 6-1/0 AWG CAA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D9D987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Pza.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AE78F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410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238C8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17,58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1936B5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7.207,80</w:t>
                  </w:r>
                </w:p>
              </w:tc>
            </w:tr>
            <w:tr w:rsidR="00D00B1E" w:rsidRPr="00DB10BE" w14:paraId="3A50412E" w14:textId="77777777" w:rsidTr="00AA57F8">
              <w:trPr>
                <w:trHeight w:val="475"/>
                <w:jc w:val="center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D19C5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25922" w14:textId="77777777" w:rsidR="00D00B1E" w:rsidRPr="00F472D6" w:rsidRDefault="00D00B1E" w:rsidP="00AA57F8">
                  <w:pPr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 xml:space="preserve">Conector paralelo Grampa Aislada para Acometida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Princ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 xml:space="preserve">. 16-150mm2;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Deriv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>. 4-35 mm2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23A86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Pza.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C2A53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410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0B7E6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26,35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BD53D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10.803,50</w:t>
                  </w:r>
                </w:p>
              </w:tc>
            </w:tr>
            <w:tr w:rsidR="00D00B1E" w:rsidRPr="00DB10BE" w14:paraId="2BC08AE7" w14:textId="77777777" w:rsidTr="00AA57F8">
              <w:trPr>
                <w:trHeight w:val="317"/>
                <w:jc w:val="center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14825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98363" w14:textId="77777777" w:rsidR="00D00B1E" w:rsidRPr="00F472D6" w:rsidRDefault="00D00B1E" w:rsidP="00AA57F8">
                  <w:pPr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 xml:space="preserve">Malla Preformada final de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linea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 xml:space="preserve"> para Cable </w:t>
                  </w:r>
                  <w:proofErr w:type="spellStart"/>
                  <w:r w:rsidRPr="00F472D6">
                    <w:rPr>
                      <w:rFonts w:ascii="Tahoma" w:hAnsi="Tahoma" w:cs="Tahoma"/>
                    </w:rPr>
                    <w:t>N°</w:t>
                  </w:r>
                  <w:proofErr w:type="spellEnd"/>
                  <w:r w:rsidRPr="00F472D6">
                    <w:rPr>
                      <w:rFonts w:ascii="Tahoma" w:hAnsi="Tahoma" w:cs="Tahoma"/>
                    </w:rPr>
                    <w:t xml:space="preserve"> 8 ACSR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265E5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Pza.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C08D7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820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BE350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9,08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C71A5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7.445,60</w:t>
                  </w:r>
                </w:p>
              </w:tc>
            </w:tr>
            <w:tr w:rsidR="00D00B1E" w:rsidRPr="00DB10BE" w14:paraId="3079D844" w14:textId="77777777" w:rsidTr="00AA57F8">
              <w:trPr>
                <w:trHeight w:val="226"/>
                <w:jc w:val="center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D9018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6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DA9D4" w14:textId="77777777" w:rsidR="00D00B1E" w:rsidRPr="00F472D6" w:rsidRDefault="00D00B1E" w:rsidP="00AA57F8">
                  <w:pPr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Precintos de Seguridad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9244C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Pza.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2623C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418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F5D7B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2,45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20EAC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1.024,10</w:t>
                  </w:r>
                </w:p>
              </w:tc>
            </w:tr>
            <w:tr w:rsidR="00D00B1E" w:rsidRPr="00DB10BE" w14:paraId="5F718F13" w14:textId="77777777" w:rsidTr="00AA57F8">
              <w:trPr>
                <w:trHeight w:val="397"/>
                <w:jc w:val="center"/>
              </w:trPr>
              <w:tc>
                <w:tcPr>
                  <w:tcW w:w="7482" w:type="dxa"/>
                  <w:gridSpan w:val="5"/>
                  <w:shd w:val="clear" w:color="auto" w:fill="FFFFFF" w:themeFill="background1"/>
                  <w:vAlign w:val="center"/>
                </w:tcPr>
                <w:p w14:paraId="4D6A853D" w14:textId="77777777" w:rsidR="00D00B1E" w:rsidRPr="00F472D6" w:rsidRDefault="00D00B1E" w:rsidP="00AA57F8">
                  <w:pPr>
                    <w:jc w:val="center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Arial" w:hAnsi="Arial" w:cs="Arial"/>
                      <w:b/>
                      <w:bCs/>
                    </w:rPr>
                    <w:t>TOTAL, PRECIO REFERENCIAL (Numeral)</w:t>
                  </w:r>
                </w:p>
              </w:tc>
              <w:tc>
                <w:tcPr>
                  <w:tcW w:w="1030" w:type="dxa"/>
                  <w:shd w:val="clear" w:color="auto" w:fill="FFFFFF" w:themeFill="background1"/>
                  <w:vAlign w:val="center"/>
                </w:tcPr>
                <w:p w14:paraId="0A865B84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153.365,10</w:t>
                  </w:r>
                </w:p>
              </w:tc>
            </w:tr>
            <w:tr w:rsidR="00D00B1E" w:rsidRPr="00DB10BE" w14:paraId="74B04C51" w14:textId="77777777" w:rsidTr="00AA57F8">
              <w:trPr>
                <w:trHeight w:val="226"/>
                <w:jc w:val="center"/>
              </w:trPr>
              <w:tc>
                <w:tcPr>
                  <w:tcW w:w="695" w:type="dxa"/>
                  <w:shd w:val="clear" w:color="auto" w:fill="FFFFFF" w:themeFill="background1"/>
                  <w:vAlign w:val="center"/>
                </w:tcPr>
                <w:p w14:paraId="228AA79E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(Literal)</w:t>
                  </w:r>
                </w:p>
              </w:tc>
              <w:tc>
                <w:tcPr>
                  <w:tcW w:w="7817" w:type="dxa"/>
                  <w:gridSpan w:val="5"/>
                  <w:shd w:val="clear" w:color="auto" w:fill="FFFFFF" w:themeFill="background1"/>
                  <w:vAlign w:val="center"/>
                </w:tcPr>
                <w:p w14:paraId="3C4D1876" w14:textId="77777777" w:rsidR="00D00B1E" w:rsidRPr="00F472D6" w:rsidRDefault="00D00B1E" w:rsidP="00AA57F8">
                  <w:pPr>
                    <w:jc w:val="right"/>
                    <w:rPr>
                      <w:rFonts w:ascii="Tahoma" w:hAnsi="Tahoma" w:cs="Tahoma"/>
                    </w:rPr>
                  </w:pPr>
                  <w:r w:rsidRPr="00F472D6">
                    <w:rPr>
                      <w:rFonts w:ascii="Tahoma" w:hAnsi="Tahoma" w:cs="Tahoma"/>
                    </w:rPr>
                    <w:t>Ciento cincuenta y tres mil trescientos sesenta y cinco 10/100 bolivianos</w:t>
                  </w:r>
                </w:p>
              </w:tc>
            </w:tr>
          </w:tbl>
          <w:p w14:paraId="2A6CBD62" w14:textId="77777777" w:rsidR="00D00B1E" w:rsidRPr="009956C4" w:rsidRDefault="00D00B1E" w:rsidP="00AA57F8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AA191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62C14D3D" w14:textId="77777777" w:rsidTr="00AA57F8">
        <w:trPr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90AC58E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741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499B4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BD6993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06CACEA3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2CBD1113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</w:tcPr>
          <w:p w14:paraId="6C44DFA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auto"/>
          </w:tcPr>
          <w:p w14:paraId="29456DD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14:paraId="6793153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10A299F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48F9FD5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</w:tcPr>
          <w:p w14:paraId="3978AD3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9590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F8BFF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4FE9A54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517644E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13DF68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01289EF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0E6773D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31D3366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0EDBD19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22049C2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5E87EB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6353220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074DC81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E02E70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606630B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B66C9C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15771B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52B3646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20CB11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1B35B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3EE8DF4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309212B6" w14:textId="77777777" w:rsidTr="00AA57F8">
        <w:trPr>
          <w:trHeight w:val="240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D65F1E6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FDBE40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54" w:type="dxa"/>
            <w:gridSpan w:val="4"/>
            <w:tcBorders>
              <w:left w:val="single" w:sz="4" w:space="0" w:color="auto"/>
            </w:tcBorders>
            <w:vAlign w:val="center"/>
          </w:tcPr>
          <w:p w14:paraId="337871D8" w14:textId="77777777" w:rsidR="00D00B1E" w:rsidRPr="009956C4" w:rsidRDefault="00D00B1E" w:rsidP="00AA57F8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14:paraId="2EB4481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</w:tcPr>
          <w:p w14:paraId="553E149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A898D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590" w:type="dxa"/>
            <w:gridSpan w:val="17"/>
            <w:tcBorders>
              <w:left w:val="single" w:sz="4" w:space="0" w:color="auto"/>
            </w:tcBorders>
            <w:vAlign w:val="center"/>
          </w:tcPr>
          <w:p w14:paraId="63FCE5A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86" w:type="dxa"/>
          </w:tcPr>
          <w:p w14:paraId="7802CDD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E9FCEA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3C8C2B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7E41BE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050FA3A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406B1D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4FE21D7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00B1E" w:rsidRPr="009956C4" w14:paraId="5DC14E9A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6EE4A2D6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47D9F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</w:tcPr>
          <w:p w14:paraId="638193B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14:paraId="7D0C11F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531B208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52BCB4F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14:paraId="2C7819B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03A9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5291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6E156C6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46EDB07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2796E24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62728D1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5F9C5F8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0D09E7F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5015608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5F24D47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22F6ABC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6C2891A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6B68EC3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333AE28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751057A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0F00D93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2E99407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484BAF6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952B3C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A8595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40782F7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1EED18FF" w14:textId="77777777" w:rsidTr="00AA57F8">
        <w:trPr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BF16580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74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CFCD7E" w14:textId="77777777" w:rsidR="00D00B1E" w:rsidRPr="005A3272" w:rsidRDefault="00D00B1E" w:rsidP="00D00B1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  <w:r w:rsidRPr="005A3272"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  <w:t>45 días calendario, para los ítems: 1, 2 y 4, a partir del día siguiente hábil de la suscripción de contrato.</w:t>
            </w:r>
          </w:p>
          <w:p w14:paraId="7D0B4D7C" w14:textId="77777777" w:rsidR="00D00B1E" w:rsidRPr="00AE24B4" w:rsidRDefault="00D00B1E" w:rsidP="00D00B1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  <w:r w:rsidRPr="005A3272"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  <w:t>30 días calendario, para los ítems: 3, 5 y 6, a partir del día siguiente hábil de la suscripción de contrato.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5A891C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1A669D99" w14:textId="77777777" w:rsidTr="00AA57F8">
        <w:trPr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E4ADBB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741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E9902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64C5BB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27D2EE9B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6DB8B991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3D85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FC51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8FFB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7BD3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2D2B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B0B3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9975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0CF6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1B5F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E1E1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4568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7750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18B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DCB1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65439E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ED80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4DF2F88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47D3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5DAE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C14C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5107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5BC1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C7DF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84F0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BCC00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E18C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0E888E9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0B2608D8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218692D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7DE6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B12D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DC52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0375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8C35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B21F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4065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4BF4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AE80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50BB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F794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B32D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A2A7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CC2D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98CA71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575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596A04E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B3EE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9F39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304D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D277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FA9A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CC9C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4D9A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E2AF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31D2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2F9D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7E40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2E30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CC6F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439740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5AD91505" w14:textId="77777777" w:rsidTr="00AA57F8">
        <w:trPr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D2DEC15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75C6C28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6520F01B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74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A837D1" w14:textId="77777777" w:rsidR="00D00B1E" w:rsidRPr="002A4B5D" w:rsidRDefault="00D00B1E" w:rsidP="00AA57F8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</w:pPr>
            <w:r w:rsidRPr="002A4B5D"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  <w:t>Para la suscripción de contrato de acuerdo con lo establecido en el Parágrafo II del Artículo 20 de las NB-SABS, el proponente decidirá el tipo de garantía a presentar entre ellos:</w:t>
            </w:r>
          </w:p>
          <w:p w14:paraId="3F721801" w14:textId="77777777" w:rsidR="00D00B1E" w:rsidRPr="002A4B5D" w:rsidRDefault="00D00B1E" w:rsidP="00AA57F8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</w:pPr>
          </w:p>
          <w:p w14:paraId="170FB85B" w14:textId="77777777" w:rsidR="00D00B1E" w:rsidRPr="002A4B5D" w:rsidRDefault="00D00B1E" w:rsidP="00AA57F8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</w:pPr>
            <w:r w:rsidRPr="002A4B5D"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  <w:t>Boleta de Garantía, Garantía a Primer Requerimiento o Póliza de Seguro de Caución a Primer Requerimiento; todos con la característica de renovable, irrevocable y de ejecución inmediata, con el objeto garantizar la conclusión y entrega del objeto de contrato, la misma será equivalente al siete por ciento (7%) o 3,5% (según corresponda) del monto del contrato con una vigencia a partir de la firma de contrato hasta la recepción definitiva del bien.</w:t>
            </w:r>
          </w:p>
          <w:p w14:paraId="5120344E" w14:textId="77777777" w:rsidR="00D00B1E" w:rsidRPr="009956C4" w:rsidRDefault="00D00B1E" w:rsidP="00AA57F8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83657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1C31AF85" w14:textId="77777777" w:rsidTr="00AA57F8">
        <w:trPr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5084BE3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741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5432F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33C5A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4E7145C2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92748B9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DBF0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5E62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C318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3DD9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86E0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2C92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BD49B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8065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71A4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71EB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2D41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F15E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8047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F9F3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50B1ED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A607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5142961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484F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DA95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6052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0DA3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09ED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B5C2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C06A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852D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ECF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5273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ECD1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DB55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3360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A5C9FF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40AFD886" w14:textId="77777777" w:rsidTr="00AA57F8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A8DEF87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</w:tcPr>
          <w:p w14:paraId="622AF5E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auto"/>
          </w:tcPr>
          <w:p w14:paraId="2528229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14:paraId="0FC3D0E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6630E8E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7D64DE3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</w:tcPr>
          <w:p w14:paraId="21AD78B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FDAA4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7A217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14618FA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7DD06B2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3FAAC80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15C9665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6A67628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1B3CCAB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06397BE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6652902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0870F61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709DCCF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70CCD5D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7D34058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FC5BC7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6FDC6E7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76866C0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1DEBF7C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008D6B0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C4FCE4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2CAA22E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1609254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77E7BAD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0FF847E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2EAB1B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00B1E" w:rsidRPr="009956C4" w14:paraId="3D4ACA31" w14:textId="77777777" w:rsidTr="00AA57F8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51264DF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B490D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332522B5" w14:textId="77777777" w:rsidR="00D00B1E" w:rsidRPr="00156685" w:rsidRDefault="00D00B1E" w:rsidP="00AA57F8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32B13FBD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4E70229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04E5691C" w14:textId="77777777" w:rsidTr="00AA57F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93B97D5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CC501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C5EB6A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89288F9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89DA3FC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22A8A0C3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A2C24BE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8A66F0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9BDDD4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99E34A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B1361F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760B7E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2A3BE82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ED063FB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B987D75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411D349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AE372EF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2BD0560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88429D0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144E6CE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B57494D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EA3C7FE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C3C3DE0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E1EBC14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C220EEC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1A374C2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6C32E97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8DF10ED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099252C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E33D0FD" w14:textId="77777777" w:rsidR="00D00B1E" w:rsidRPr="009956C4" w:rsidRDefault="00D00B1E" w:rsidP="00AA57F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00B1E" w:rsidRPr="009956C4" w14:paraId="7213ADBD" w14:textId="77777777" w:rsidTr="00AA57F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FFDF990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5BF17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B4B284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D55726E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2E22CF6F" w14:textId="77777777" w:rsidTr="00AA57F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7FD2C4F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9CE42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158A81B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D9DE9E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553B2C87" w14:textId="77777777" w:rsidTr="00AA57F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87C95B1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875BE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DD7407" w14:textId="77777777" w:rsidR="00D00B1E" w:rsidRPr="009956C4" w:rsidRDefault="00D00B1E" w:rsidP="00AA57F8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FB8F27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7B633A8A" w14:textId="77777777" w:rsidTr="00AA57F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A281AB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F950ED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466D7F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8792A94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08"/>
        <w:gridCol w:w="65"/>
        <w:gridCol w:w="273"/>
        <w:gridCol w:w="273"/>
        <w:gridCol w:w="273"/>
        <w:gridCol w:w="273"/>
        <w:gridCol w:w="273"/>
      </w:tblGrid>
      <w:tr w:rsidR="00D00B1E" w:rsidRPr="009956C4" w14:paraId="039E29B3" w14:textId="77777777" w:rsidTr="00AA57F8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8C9CAFA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607CA29F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2877AABE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11DE13F7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lastRenderedPageBreak/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0FB0B583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093020B6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663897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641F5E39" w14:textId="77777777" w:rsidTr="00AA57F8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5B26EB9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94E9FFA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285BFB76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6BCA95D6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55E326E1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6577490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6FB217E4" w14:textId="77777777" w:rsidTr="00AA57F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26EAD77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B017245" w14:textId="77777777" w:rsidR="00D00B1E" w:rsidRPr="009956C4" w:rsidRDefault="00D00B1E" w:rsidP="00AA57F8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8971D8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180A96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0E14ED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99C8F1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  <w:r w:rsidRPr="00180A96">
              <w:rPr>
                <w:rFonts w:ascii="Arial" w:hAnsi="Arial" w:cs="Arial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BED303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259F2F9C" w14:textId="77777777" w:rsidTr="00AA57F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E4B852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523F3434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29A56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0DA7C138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77AC2B00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2FA9EE8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3AEE029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66DA2902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A6420B2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E4726E1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AAB53E4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9BE169D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C765522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2ACD9DB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C2EA4F6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47B5BB1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B79658D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B399A4E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17223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2E46D59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043D7DB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5BCD54E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8500F23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261B104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0D798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EEBC6B2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6328AC2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C020420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4651CAF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60A5658" w14:textId="77777777" w:rsidR="00D00B1E" w:rsidRPr="009956C4" w:rsidRDefault="00D00B1E" w:rsidP="00AA57F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00B1E" w:rsidRPr="009956C4" w14:paraId="742F146D" w14:textId="77777777" w:rsidTr="00AA57F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6F22BA4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38126B7" w14:textId="77777777" w:rsidR="00D00B1E" w:rsidRPr="009956C4" w:rsidRDefault="00D00B1E" w:rsidP="00AA57F8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B72926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9B27B95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3BE8BC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5C3377" w14:textId="77777777" w:rsidR="00D00B1E" w:rsidRPr="009956C4" w:rsidRDefault="00D00B1E" w:rsidP="00AA57F8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390CBCEC" w14:textId="77777777" w:rsidTr="00AA57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D2F7C47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BF922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D578EC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30D5E9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2F332E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6F3C20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067236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FC58A9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863C0B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5E420B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BC81DC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72AC9C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F8B047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338611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4F0965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CC4D7F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69E977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D26986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B1D3A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D12846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A6DC36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EEF0E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9DCD7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E0943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A1F19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5BE2D3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DA288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523CD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F567A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D96B0E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D00B1E" w:rsidRPr="009956C4" w14:paraId="1794277C" w14:textId="77777777" w:rsidTr="00AA57F8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8B87603" w14:textId="77777777" w:rsidR="00D00B1E" w:rsidRPr="009956C4" w:rsidRDefault="00D00B1E" w:rsidP="00D00B1E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D00B1E" w:rsidRPr="009956C4" w14:paraId="4E7362DC" w14:textId="77777777" w:rsidTr="00AA57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9BB8415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9C6F0C6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00F98E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16A6A0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7275A6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18202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C96FAA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71B654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09825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4D99E1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91CBF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49A74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A2462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69077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50A29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7A81F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D8343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584C9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07F2D8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0334E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10F14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054AE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180B9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80664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0DFCEB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0AFDB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B3C28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3A6A3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0AA50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76951C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00B1E" w:rsidRPr="009956C4" w14:paraId="55636787" w14:textId="77777777" w:rsidTr="00AA57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BA47FC4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666FC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 xml:space="preserve">CALLE COLOMBIA </w:t>
            </w:r>
            <w:proofErr w:type="spellStart"/>
            <w:r w:rsidRPr="00180A96">
              <w:rPr>
                <w:rFonts w:ascii="Arial" w:hAnsi="Arial" w:cs="Arial"/>
              </w:rPr>
              <w:t>Nº</w:t>
            </w:r>
            <w:proofErr w:type="spellEnd"/>
            <w:r w:rsidRPr="00180A96">
              <w:rPr>
                <w:rFonts w:ascii="Arial" w:hAnsi="Arial" w:cs="Arial"/>
              </w:rPr>
              <w:t xml:space="preserve"> 655 - COCHABAMBA</w:t>
            </w:r>
          </w:p>
        </w:tc>
        <w:tc>
          <w:tcPr>
            <w:tcW w:w="17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6990C9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E4548C" w14:textId="77777777" w:rsidR="00D00B1E" w:rsidRPr="00180A96" w:rsidRDefault="00D00B1E" w:rsidP="00AA57F8">
            <w:pPr>
              <w:rPr>
                <w:rFonts w:ascii="Arial" w:hAnsi="Arial" w:cs="Arial"/>
                <w:sz w:val="14"/>
                <w:szCs w:val="14"/>
              </w:rPr>
            </w:pPr>
            <w:r w:rsidRPr="00180A96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180A9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180A96">
              <w:rPr>
                <w:rFonts w:ascii="Arial" w:hAnsi="Arial" w:cs="Arial"/>
                <w:sz w:val="14"/>
                <w:szCs w:val="14"/>
              </w:rPr>
              <w:t xml:space="preserve">0 a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180A96">
              <w:rPr>
                <w:rFonts w:ascii="Arial" w:hAnsi="Arial" w:cs="Arial"/>
                <w:sz w:val="14"/>
                <w:szCs w:val="14"/>
              </w:rPr>
              <w:t>2:30</w:t>
            </w:r>
          </w:p>
          <w:p w14:paraId="048C5D6C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180A96">
              <w:rPr>
                <w:rFonts w:ascii="Arial" w:hAnsi="Arial" w:cs="Arial"/>
                <w:sz w:val="14"/>
                <w:szCs w:val="14"/>
              </w:rPr>
              <w:t>:30 a 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180A9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180A96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7E8B48E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</w:tr>
      <w:tr w:rsidR="00D00B1E" w:rsidRPr="009956C4" w14:paraId="7C9E4A20" w14:textId="77777777" w:rsidTr="00AA57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1878BDE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80DBE1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241FDD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8B36B7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2E3F4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3D224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F583E0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7507CA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CA8136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CBC21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E1E58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2EC7C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B2FA6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3E1F56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44E3C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E2683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C3C3B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37375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F53D15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93A9D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E65FE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FA553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A33A0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F6EB3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DAAD62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E5838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F3E68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E0898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083BB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AE775C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00B1E" w:rsidRPr="009956C4" w14:paraId="7FDA508E" w14:textId="77777777" w:rsidTr="00AA57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5F8EB0F9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00282A56" w14:textId="77777777" w:rsidR="00D00B1E" w:rsidRPr="009956C4" w:rsidRDefault="00D00B1E" w:rsidP="00AA57F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FECCB9C" w14:textId="77777777" w:rsidR="00D00B1E" w:rsidRPr="009956C4" w:rsidRDefault="00D00B1E" w:rsidP="00AA57F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A4BD326" w14:textId="77777777" w:rsidR="00D00B1E" w:rsidRPr="009956C4" w:rsidRDefault="00D00B1E" w:rsidP="00AA57F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9F038DD" w14:textId="77777777" w:rsidR="00D00B1E" w:rsidRPr="009956C4" w:rsidRDefault="00D00B1E" w:rsidP="00AA57F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7FC24AE0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5BBF7659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5B2C21A7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4713DE08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6039B4FE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0E1572E" w14:textId="77777777" w:rsidR="00D00B1E" w:rsidRPr="009956C4" w:rsidRDefault="00D00B1E" w:rsidP="00AA57F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D00B1E" w:rsidRPr="009956C4" w14:paraId="19F51994" w14:textId="77777777" w:rsidTr="00AA57F8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515769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9352DA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Lic. Celida Acosta Diaz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E4AD7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E9E52F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Analista Técnic</w:t>
            </w:r>
            <w:r>
              <w:rPr>
                <w:rFonts w:ascii="Arial" w:hAnsi="Arial" w:cs="Arial"/>
              </w:rPr>
              <w:t>o</w:t>
            </w:r>
            <w:r w:rsidRPr="00180A96">
              <w:rPr>
                <w:rFonts w:ascii="Arial" w:hAnsi="Arial" w:cs="Arial"/>
              </w:rPr>
              <w:t xml:space="preserve"> II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1610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FD436C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105761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</w:tr>
      <w:tr w:rsidR="00D00B1E" w:rsidRPr="009956C4" w14:paraId="2ED09F7B" w14:textId="77777777" w:rsidTr="00AA57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AE3079F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2A85C32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FE5A057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744E999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C24AB4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DB8B71A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25546DF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C8CBE77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73B2F9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A5C8D5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166D12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630F45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4DD20F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807D5D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56328C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DE15EE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FC029B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FCE885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E712BF4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B0103A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6B39B6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92079B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3AB554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4B2032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1EFF59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36C35D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F18BF1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928F7E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97A0AD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4FBE6C2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</w:tr>
      <w:tr w:rsidR="00D00B1E" w:rsidRPr="009956C4" w14:paraId="0E8970D8" w14:textId="77777777" w:rsidTr="00AA57F8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48306F4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AE8D3F" w14:textId="77777777" w:rsidR="00D00B1E" w:rsidRPr="00A7196B" w:rsidRDefault="00D00B1E" w:rsidP="00AA57F8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7196B">
              <w:rPr>
                <w:rFonts w:ascii="Arial" w:hAnsi="Arial" w:cs="Arial"/>
                <w:sz w:val="14"/>
                <w:szCs w:val="14"/>
                <w:lang w:val="es-BO"/>
              </w:rPr>
              <w:t>4520317 INT. 1282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206D4BC2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1C0008DA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606697" w14:textId="77777777" w:rsidR="00D00B1E" w:rsidRPr="009956C4" w:rsidRDefault="00D00B1E" w:rsidP="00AA57F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54C8F10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55193B58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067357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Pr="00D63D55">
                <w:rPr>
                  <w:rStyle w:val="Hipervnculo"/>
                </w:rPr>
                <w:t>c</w:t>
              </w:r>
              <w:r w:rsidRPr="00D63D55">
                <w:rPr>
                  <w:rStyle w:val="Hipervnculo"/>
                  <w:rFonts w:ascii="Arial" w:hAnsi="Arial" w:cs="Arial"/>
                  <w:lang w:val="es-BO"/>
                </w:rPr>
                <w:t>elida.acosta@ende.bo</w:t>
              </w:r>
            </w:hyperlink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6839850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1770862" w14:textId="77777777" w:rsidR="00D00B1E" w:rsidRPr="009956C4" w:rsidRDefault="00D00B1E" w:rsidP="00AA57F8">
            <w:pPr>
              <w:rPr>
                <w:rFonts w:ascii="Arial" w:hAnsi="Arial" w:cs="Arial"/>
                <w:lang w:val="es-BO"/>
              </w:rPr>
            </w:pPr>
          </w:p>
        </w:tc>
      </w:tr>
      <w:tr w:rsidR="00D00B1E" w:rsidRPr="009956C4" w14:paraId="21E076D9" w14:textId="77777777" w:rsidTr="00AA57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9BACEC2" w14:textId="77777777" w:rsidR="00D00B1E" w:rsidRPr="009956C4" w:rsidRDefault="00D00B1E" w:rsidP="00AA57F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E9ABC7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13D393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4C7A80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84DF5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79EB0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E3AF34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694461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526D1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312D0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3986B0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4F12C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906CA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A629E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A147F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52EDE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7CA316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F894E5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90620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B0CDC4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76BDC8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FF6D74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BAD317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E4F22C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F52A7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46A134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472901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A0EA18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5712A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D73787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00B1E" w:rsidRPr="009956C4" w14:paraId="0A816DE6" w14:textId="77777777" w:rsidTr="00AA57F8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69C" w14:textId="77777777" w:rsidR="00D00B1E" w:rsidRPr="00402294" w:rsidRDefault="00D00B1E" w:rsidP="00AA57F8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3C25D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C6D88">
              <w:rPr>
                <w:rFonts w:ascii="Arial" w:hAnsi="Arial" w:cs="Arial"/>
              </w:rPr>
              <w:t>NO APLICA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1D850B7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15A3F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3FABA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EA9ABC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2F669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7F169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920B4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C8532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2AD24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3D13F0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6C2F4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5ED66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53904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D28E0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39F1F5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00B1E" w:rsidRPr="009956C4" w14:paraId="1DD810BD" w14:textId="77777777" w:rsidTr="00AA57F8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D39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001DA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057F686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D579F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B38DF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5AACF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A9CD2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303A1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30836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2DEF77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489B8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E84123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BC99D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665AE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B9C6D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0E73D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97F908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00B1E" w:rsidRPr="009956C4" w14:paraId="4E2C871C" w14:textId="77777777" w:rsidTr="00AA57F8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F50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F2191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40B9F04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44D5E6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CEB22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B95FEC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5AF18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EFAF1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1DCFD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BC337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0E4DF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1D0F2DD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01D9BC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0AC5C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52643F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DC8F8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97A917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00B1E" w:rsidRPr="009956C4" w14:paraId="2DAF1DA0" w14:textId="77777777" w:rsidTr="00AA57F8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1D480C1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03F2A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2807131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4834920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95924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4FDB87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49B3102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0B3E9FA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123E3E6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8EAE4B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52B7B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C71CFD9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53F7A38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F408DA3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A867125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52AF647E" w14:textId="77777777" w:rsidR="00D00B1E" w:rsidRPr="009956C4" w:rsidRDefault="00D00B1E" w:rsidP="00AA57F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32105386" w14:textId="77777777" w:rsidR="00D00B1E" w:rsidRPr="009956C4" w:rsidRDefault="00D00B1E" w:rsidP="00D00B1E">
      <w:pPr>
        <w:rPr>
          <w:lang w:val="es-BO"/>
        </w:rPr>
      </w:pPr>
    </w:p>
    <w:p w14:paraId="376111B3" w14:textId="77777777" w:rsidR="00D00B1E" w:rsidRDefault="00D00B1E" w:rsidP="00D00B1E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</w:p>
    <w:p w14:paraId="21F0C796" w14:textId="77777777" w:rsidR="00D00B1E" w:rsidRDefault="00D00B1E" w:rsidP="00D00B1E">
      <w:pPr>
        <w:rPr>
          <w:lang w:val="es-BO"/>
        </w:rPr>
      </w:pPr>
    </w:p>
    <w:p w14:paraId="2D258AE1" w14:textId="77777777" w:rsidR="00D00B1E" w:rsidRPr="009956C4" w:rsidRDefault="00D00B1E" w:rsidP="00D00B1E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1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1"/>
    </w:p>
    <w:p w14:paraId="144D94DC" w14:textId="77777777" w:rsidR="00D00B1E" w:rsidRPr="009956C4" w:rsidRDefault="00D00B1E" w:rsidP="00D00B1E">
      <w:pPr>
        <w:rPr>
          <w:lang w:val="es-BO"/>
        </w:rPr>
      </w:pPr>
    </w:p>
    <w:p w14:paraId="7F547B75" w14:textId="77777777" w:rsidR="00D00B1E" w:rsidRPr="009956C4" w:rsidRDefault="00D00B1E" w:rsidP="00D00B1E">
      <w:pPr>
        <w:jc w:val="right"/>
        <w:rPr>
          <w:rFonts w:ascii="Arial" w:hAnsi="Arial" w:cs="Arial"/>
          <w:lang w:val="es-BO"/>
        </w:rPr>
      </w:pPr>
    </w:p>
    <w:p w14:paraId="671138E7" w14:textId="77777777" w:rsidR="00D00B1E" w:rsidRPr="009956C4" w:rsidRDefault="00D00B1E" w:rsidP="00D00B1E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1AC0EA6F" w14:textId="77777777" w:rsidR="00D00B1E" w:rsidRPr="009956C4" w:rsidRDefault="00D00B1E" w:rsidP="00D00B1E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D00B1E" w:rsidRPr="009956C4" w14:paraId="4EC63830" w14:textId="77777777" w:rsidTr="00D00B1E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5EE691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643274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94662A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C43595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D00B1E" w:rsidRPr="009956C4" w14:paraId="030E0EB1" w14:textId="77777777" w:rsidTr="00D00B1E"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667962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B6650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0F05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20FC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51A8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71B2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8EEC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BF7D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FE6D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28D33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BCA3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93C4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492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D1A48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1763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8F3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1F626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497B7A20" w14:textId="77777777" w:rsidTr="00D00B1E"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563B8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3739E4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483A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2B240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2665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ED78E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48A4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7923B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5B716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11B55E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BBA6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A53A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76EB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7FBF9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FE604E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23B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71A45C7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49A2C951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08E91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27ABB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B494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7E21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890E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AAE0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3156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9594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B7F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0636A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BAB6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AE59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65F3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5EC16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22D734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BC70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00254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7708B47D" w14:textId="77777777" w:rsidTr="00D00B1E">
        <w:trPr>
          <w:trHeight w:val="116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120EE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D38685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DC6FC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B9593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FB1A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F090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B9C4E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C2D13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E01C6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AE0F2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8746E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88EB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48118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D4EBA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C1A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F1092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180A96">
              <w:rPr>
                <w:rFonts w:ascii="Arial" w:hAnsi="Arial" w:cs="Arial"/>
                <w:sz w:val="14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DF97BA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6134A108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0119EC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259C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BB85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B1C2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3A90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87FD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CE5D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9822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2FC5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577E3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1809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3D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330C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92E47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E53561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B68C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9091C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71FF418E" w14:textId="77777777" w:rsidTr="00D00B1E">
        <w:trPr>
          <w:trHeight w:val="18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129CC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155535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2C71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4BB7D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84C5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6211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F532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04FD8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7F8E3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7EDFB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866B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278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BD2E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56550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1CC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A2B8E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180A96">
              <w:rPr>
                <w:rFonts w:ascii="Arial" w:hAnsi="Arial" w:cs="Arial"/>
                <w:sz w:val="12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99CDE0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49A40B74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82E490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74B72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613C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292F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BE2F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F1F8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888C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4303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B1D8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98929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BAC4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DE7D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3926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D4199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4E5803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525E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3B2FC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4C9BC776" w14:textId="77777777" w:rsidTr="00D00B1E">
        <w:trPr>
          <w:trHeight w:val="27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58432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14D2C3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6410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59A09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325D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F602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98B9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8D199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1C7C3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D7390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B4A27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92A3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652CF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79CC6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584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DA633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180A96">
              <w:rPr>
                <w:rFonts w:ascii="Arial" w:hAnsi="Arial" w:cs="Arial"/>
                <w:b/>
                <w:i/>
                <w:sz w:val="12"/>
              </w:rPr>
              <w:t>(No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71E331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2DC6AB57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3FD13D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ABCB2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5C09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A6F7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2354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33FA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DFFD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C1BC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301E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2DD08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5359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6A3D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79CA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D2C6E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258A5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8560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4986D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20F11509" w14:textId="77777777" w:rsidTr="00D00B1E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A7FC2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C812BF2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FE39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4A06D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660A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E67D5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480C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AD0EE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21D87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79FC3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CD792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EEA8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68DB0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A81B3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8441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C870DC" w14:textId="77777777" w:rsidR="00D00B1E" w:rsidRPr="00B62715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B62715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 xml:space="preserve">Plataforma RUPE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D9E676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3F8877AD" w14:textId="77777777" w:rsidTr="00D00B1E">
        <w:trPr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C0CC7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70D50A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A99203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534B7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2EDE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E3A7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5EF3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7518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03AA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D70DD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3B67B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5E90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9E22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5AA8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B543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A4F5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1BD0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87C9C6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00B1E" w:rsidRPr="009956C4" w14:paraId="1001504A" w14:textId="77777777" w:rsidTr="00D00B1E">
        <w:trPr>
          <w:trHeight w:val="15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640F6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AF96F2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93E8221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2F90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E7DDC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4E90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DC661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480A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B09594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B27F9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D671E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DC191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B31F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799E5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BB300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2DD1D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C40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89013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00B1E" w:rsidRPr="009956C4" w14:paraId="48498397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71D32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ED983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B359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44BE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1D46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D952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00C6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8A25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88BB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E3E5F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9CE2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5B7E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E0D8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6A261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843708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1E6A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398FA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3D72EADD" w14:textId="77777777" w:rsidTr="00D00B1E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4A040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8A82DF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B938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E79F4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521B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BE7B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516B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F5766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CAF91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C20A3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EE8B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2EE0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716C5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550BB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6AF060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639B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F61FEA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23FD4B8E" w14:textId="77777777" w:rsidTr="00D00B1E">
        <w:trPr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A901D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B881F9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5F2AD1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A430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B539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2AA1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3ECD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3F6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68AC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17285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73A45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383E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9067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A0E9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2ED7B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16D3B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5B32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75DF1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00B1E" w:rsidRPr="009956C4" w14:paraId="1D7B2EF0" w14:textId="77777777" w:rsidTr="00D00B1E">
        <w:trPr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484F5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3C18A4C2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756C63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BD77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617128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FAF5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65BF8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220C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60074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03DCE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3D4C0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9B5DE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F005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6D397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42499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25D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2C7112" w14:textId="77777777" w:rsidR="00D00B1E" w:rsidRPr="00B62715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62715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B62715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B62715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B62715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B62715">
              <w:rPr>
                <w:rFonts w:ascii="Arial" w:hAnsi="Arial" w:cs="Arial"/>
                <w:lang w:val="es-BO"/>
              </w:rPr>
              <w:t xml:space="preserve"> 655 (Sala de ENDE) o</w:t>
            </w:r>
          </w:p>
          <w:p w14:paraId="2BFA7497" w14:textId="77777777" w:rsidR="00D00B1E" w:rsidRPr="00B62715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62715">
              <w:rPr>
                <w:rFonts w:ascii="Arial" w:hAnsi="Arial" w:cs="Arial"/>
                <w:lang w:val="es-BO"/>
              </w:rPr>
              <w:t xml:space="preserve"> mediante el enlace: </w:t>
            </w:r>
          </w:p>
          <w:p w14:paraId="42578F6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B62715">
              <w:rPr>
                <w:rFonts w:ascii="Arial" w:hAnsi="Arial" w:cs="Arial"/>
                <w:lang w:val="es-BO"/>
              </w:rPr>
              <w:t>https://ende.webex.com/meet/ende.sala5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257EB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00B1E" w:rsidRPr="009956C4" w14:paraId="01CCEAD9" w14:textId="77777777" w:rsidTr="00D00B1E">
        <w:trPr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C47BB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CADCBF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8346E0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3081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9B53C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9837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65FA7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7BAC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D5E3D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93D20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ED459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936CA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BCF2E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BE66E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7E522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AE4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26CD8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A78CA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00B1E" w:rsidRPr="009956C4" w14:paraId="78C592C7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5A2F12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C8DC5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7B34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6912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C3D1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0A21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6A35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63FA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43F0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03088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BB94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EB6B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4B55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CCC3A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7AFF1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7EC6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54A18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5C829CB8" w14:textId="77777777" w:rsidTr="00D00B1E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9CDB4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95C7F3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4B13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AF28E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0057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FB71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00B6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01652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9245A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86481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89E4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DEB3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608A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A5EC5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A69B0D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2B22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6A426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65E7D22F" w14:textId="77777777" w:rsidTr="00D00B1E"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C3323C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AF725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982DF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9445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7F2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045E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6366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23A4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F2916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C2086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DA7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E1EA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9F0D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182BB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152B2C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129D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CF547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D00B1E" w:rsidRPr="009956C4" w14:paraId="1DDEC86B" w14:textId="77777777" w:rsidTr="00D00B1E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77526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A21B61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134C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52764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086A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8A344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4FE9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A8669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746B8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4D48B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B2E3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8F00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E67D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E338C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C067D5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44CC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0228A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54DA964A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BB6F71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EE8DD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8439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5175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D8CF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5E58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43BC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6D85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5D27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D8627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7633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7622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DF63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1C949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7C7C07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F145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AB90B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3018DF12" w14:textId="77777777" w:rsidTr="00D00B1E"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C4735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8AB8DC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65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7A59D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2B7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4EF08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C1D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B1E5F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009A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0E115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BB5A9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8F50F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21BBB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B2C41D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BE78CF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76C6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A62CF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774BA77F" w14:textId="77777777" w:rsidTr="00D00B1E"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32845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0CC0EC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51EF1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EC2B1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B8A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B829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C820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493A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31D42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0A4852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510B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F3DB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0157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A32FB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E6B85D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B09B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B14FB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9956C4" w14:paraId="537E3946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659DB0" w14:textId="77777777" w:rsidR="00D00B1E" w:rsidRPr="009956C4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F27CD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6CC8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0FD7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9387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9075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AD4E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7063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6A42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564582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62D1A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D17F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DFAB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A7DBC6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A73BF4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F7C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34611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9956C4" w14:paraId="672580FF" w14:textId="77777777" w:rsidTr="00D00B1E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6824FF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601A10" w14:textId="77777777" w:rsidR="00D00B1E" w:rsidRPr="009956C4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49FF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09C3D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BB5CC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6A3C0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CFDF5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F762B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91ED1B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41DF4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E8E29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0BB18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67FD3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72C860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F7DD522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62D0D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DB324E" w14:textId="77777777" w:rsidR="00D00B1E" w:rsidRPr="009956C4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A244D6" w14:paraId="5A8CB5D0" w14:textId="77777777" w:rsidTr="00D00B1E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D2AC5A" w14:textId="77777777" w:rsidR="00D00B1E" w:rsidRPr="00A244D6" w:rsidRDefault="00D00B1E" w:rsidP="00AA57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AB9E2" w14:textId="77777777" w:rsidR="00D00B1E" w:rsidRPr="00A244D6" w:rsidRDefault="00D00B1E" w:rsidP="00AA57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9EDFE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BE96A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64D9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A8725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F7D9D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F4E2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95DE4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23BADB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46B4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374A7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F14EA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C24494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CCDA6FF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C7E8B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DF88B7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0B1E" w:rsidRPr="00A244D6" w14:paraId="117CCAB1" w14:textId="77777777" w:rsidTr="00D00B1E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327C487" w14:textId="77777777" w:rsidR="00D00B1E" w:rsidRPr="00A244D6" w:rsidRDefault="00D00B1E" w:rsidP="00AA57F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AB5254" w14:textId="77777777" w:rsidR="00D00B1E" w:rsidRPr="00A244D6" w:rsidRDefault="00D00B1E" w:rsidP="00AA57F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2077A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65BE8A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BB19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E7BDB3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5547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559C8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32024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8D6515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BBF0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644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1D1C0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289F2B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6F2E88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8DF30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770EBA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00B1E" w:rsidRPr="00A244D6" w14:paraId="7725B526" w14:textId="77777777" w:rsidTr="00D00B1E"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B78A8F6" w14:textId="77777777" w:rsidR="00D00B1E" w:rsidRPr="00A244D6" w:rsidRDefault="00D00B1E" w:rsidP="00AA57F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EF6DC34" w14:textId="77777777" w:rsidR="00D00B1E" w:rsidRPr="00A244D6" w:rsidRDefault="00D00B1E" w:rsidP="00AA57F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A9407" w14:textId="77777777" w:rsidR="00D00B1E" w:rsidRPr="00A244D6" w:rsidRDefault="00D00B1E" w:rsidP="00AA57F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BDA1E9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F971E3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92F03F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179878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412FE7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D77181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A51BC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8E540B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ED0E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A521BB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0BCF4A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C00E2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A9E04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6CD6F9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7FC7EE" w14:textId="77777777" w:rsidR="00D00B1E" w:rsidRPr="00A244D6" w:rsidRDefault="00D00B1E" w:rsidP="00AA57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7CA35BC7" w14:textId="77777777" w:rsidR="00D00B1E" w:rsidRPr="00A244D6" w:rsidRDefault="00D00B1E" w:rsidP="00D00B1E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6613C2FA" w14:textId="2204CD91" w:rsidR="00F070C7" w:rsidRDefault="00D00B1E" w:rsidP="00D00B1E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</w:t>
      </w:r>
    </w:p>
    <w:sectPr w:rsidR="00F07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1D0495"/>
    <w:multiLevelType w:val="hybridMultilevel"/>
    <w:tmpl w:val="FBACA2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1E"/>
    <w:rsid w:val="00D00B1E"/>
    <w:rsid w:val="00F0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78A3"/>
  <w15:chartTrackingRefBased/>
  <w15:docId w15:val="{AD6E3CD4-59C0-4187-9455-625BD647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1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00B1E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00B1E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00B1E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00B1E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D00B1E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D00B1E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00B1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00B1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00B1E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B1E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00B1E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00B1E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D00B1E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D00B1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00B1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D00B1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D00B1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D00B1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00B1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00B1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D00B1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D00B1E"/>
    <w:rPr>
      <w:color w:val="0000FF"/>
      <w:u w:val="single"/>
    </w:rPr>
  </w:style>
  <w:style w:type="paragraph" w:styleId="Encabezado">
    <w:name w:val="header"/>
    <w:basedOn w:val="Normal"/>
    <w:link w:val="EncabezadoCar"/>
    <w:rsid w:val="00D00B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00B1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00B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B1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D00B1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D00B1E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D00B1E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00B1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00B1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00B1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00B1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00B1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00B1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D00B1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00B1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00B1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0B1E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D00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D0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D00B1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00B1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00B1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D00B1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00B1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00B1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D00B1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00B1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qFormat/>
    <w:rsid w:val="00D00B1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D00B1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D00B1E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D00B1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00B1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00B1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00B1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00B1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D00B1E"/>
    <w:rPr>
      <w:vertAlign w:val="superscript"/>
    </w:rPr>
  </w:style>
  <w:style w:type="paragraph" w:customStyle="1" w:styleId="BodyText21">
    <w:name w:val="Body Text 21"/>
    <w:basedOn w:val="Normal"/>
    <w:rsid w:val="00D00B1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00B1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00B1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00B1E"/>
  </w:style>
  <w:style w:type="paragraph" w:customStyle="1" w:styleId="Document1">
    <w:name w:val="Document 1"/>
    <w:rsid w:val="00D00B1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D00B1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00B1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D00B1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00B1E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D00B1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D00B1E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D00B1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00B1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00B1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00B1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00B1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D00B1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00B1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D00B1E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D00B1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00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D00B1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00B1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D00B1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00B1E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D00B1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00B1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D00B1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00B1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00B1E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D00B1E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D00B1E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D00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link w:val="Prrafodelista"/>
    <w:uiPriority w:val="34"/>
    <w:locked/>
    <w:rsid w:val="00D00B1E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00B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00B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D00B1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00B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00B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00B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D0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ida.acost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1069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Celida Acosta Diaz</dc:creator>
  <cp:keywords/>
  <dc:description/>
  <cp:lastModifiedBy>Celida Acosta Diaz</cp:lastModifiedBy>
  <cp:revision>1</cp:revision>
  <dcterms:created xsi:type="dcterms:W3CDTF">2026-05-05T21:35:00Z</dcterms:created>
  <dcterms:modified xsi:type="dcterms:W3CDTF">2026-05-05T21:36:00Z</dcterms:modified>
</cp:coreProperties>
</file>