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32" w:rsidRPr="004A1B32" w:rsidRDefault="004A1B32" w:rsidP="004A1B3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</w:pPr>
      <w:bookmarkStart w:id="0" w:name="_Toc517892434"/>
      <w:bookmarkStart w:id="1" w:name="_GoBack"/>
      <w:bookmarkEnd w:id="1"/>
      <w:r w:rsidRPr="004A1B32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BO" w:eastAsia="es-ES"/>
        </w:rPr>
        <w:t>CONVOCATORIA Y DATOS GENERALES DEL PROCESO DE CONTRATACIÓN</w:t>
      </w:r>
      <w:bookmarkEnd w:id="0"/>
    </w:p>
    <w:p w:rsidR="004A1B32" w:rsidRPr="004A1B32" w:rsidRDefault="004A1B32" w:rsidP="004A1B3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val="es-BO"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A1B32" w:rsidRPr="004A1B32" w:rsidTr="004A1B3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A1B32" w:rsidRPr="004A1B32" w:rsidRDefault="004A1B32" w:rsidP="004A1B32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4A1B32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4A1B32" w:rsidRPr="004A1B32" w:rsidTr="004A1B3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trHeight w:val="153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ENDE-ANPE-2021-022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4A1B32" w:rsidRPr="004A1B32" w:rsidTr="004A1B32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32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3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1"/>
      </w:tblGrid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SERVICIO DE CONSULTORIA INDIVIDUAL DE LINEA AUDITORIA INTERNA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ÍTEM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4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233"/>
              <w:gridCol w:w="1399"/>
            </w:tblGrid>
            <w:tr w:rsidR="004A1B32" w:rsidRPr="004A1B32" w:rsidTr="00CC38AE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ÍTEM</w:t>
                  </w:r>
                </w:p>
              </w:tc>
              <w:tc>
                <w:tcPr>
                  <w:tcW w:w="5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CARGO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ES"/>
                    </w:rPr>
                    <w:t>PRECIO REF. MES</w:t>
                  </w:r>
                </w:p>
              </w:tc>
            </w:tr>
            <w:tr w:rsidR="004A1B32" w:rsidRPr="004A1B32" w:rsidTr="00CC38AE">
              <w:trPr>
                <w:trHeight w:val="311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ÍTEM 1</w:t>
                  </w:r>
                </w:p>
              </w:tc>
              <w:tc>
                <w:tcPr>
                  <w:tcW w:w="5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Profesional Nivel V - UAIN 1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9.750,00</w:t>
                  </w:r>
                </w:p>
              </w:tc>
            </w:tr>
            <w:tr w:rsidR="004A1B32" w:rsidRPr="004A1B32" w:rsidTr="00CC38AE">
              <w:trPr>
                <w:trHeight w:val="259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ÍTEM 2</w:t>
                  </w:r>
                </w:p>
              </w:tc>
              <w:tc>
                <w:tcPr>
                  <w:tcW w:w="5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Profesional </w:t>
                  </w:r>
                  <w:proofErr w:type="gramStart"/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Junior  -</w:t>
                  </w:r>
                  <w:proofErr w:type="gramEnd"/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UAIN 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4A1B32" w:rsidRPr="004A1B32" w:rsidRDefault="004A1B32" w:rsidP="004A1B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          7.977,00 </w:t>
                  </w:r>
                </w:p>
              </w:tc>
            </w:tr>
            <w:tr w:rsidR="004A1B32" w:rsidRPr="004A1B32" w:rsidTr="00CC38AE">
              <w:trPr>
                <w:trHeight w:val="315"/>
              </w:trPr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</w:tcPr>
                <w:p w:rsidR="004A1B32" w:rsidRPr="004A1B32" w:rsidRDefault="004A1B32" w:rsidP="004A1B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</w:tcPr>
                <w:p w:rsidR="004A1B32" w:rsidRPr="004A1B32" w:rsidRDefault="004A1B32" w:rsidP="004A1B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Diecisiete mil setecientos veintisiete 00/100 </w:t>
                  </w:r>
                  <w:proofErr w:type="gramStart"/>
                  <w:r w:rsidRPr="004A1B32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ES"/>
                    </w:rPr>
                    <w:t>Bolivianos</w:t>
                  </w:r>
                  <w:proofErr w:type="gramEnd"/>
                </w:p>
              </w:tc>
              <w:tc>
                <w:tcPr>
                  <w:tcW w:w="1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</w:tcPr>
                <w:p w:rsidR="004A1B32" w:rsidRPr="004A1B32" w:rsidRDefault="004A1B32" w:rsidP="004A1B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A1B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17.727,00</w:t>
                  </w:r>
                </w:p>
              </w:tc>
            </w:tr>
          </w:tbl>
          <w:p w:rsidR="004A1B32" w:rsidRPr="004A1B32" w:rsidRDefault="004A1B32" w:rsidP="004A1B32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4A1B3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(sólo en el caso de </w:t>
            </w:r>
            <w:proofErr w:type="gramStart"/>
            <w:r w:rsidRPr="004A1B32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>Consultoría  por</w:t>
            </w:r>
            <w:proofErr w:type="gramEnd"/>
            <w:r w:rsidRPr="004A1B32">
              <w:rPr>
                <w:rFonts w:ascii="Arial" w:hAnsi="Arial" w:cs="Arial"/>
                <w:b/>
                <w:i/>
                <w:sz w:val="12"/>
                <w:szCs w:val="16"/>
                <w:lang w:eastAsia="es-ES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bCs/>
                <w:iCs/>
                <w:sz w:val="16"/>
                <w:szCs w:val="16"/>
                <w:lang w:eastAsia="es-ES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A1B32" w:rsidRPr="004A1B32" w:rsidTr="004A1B3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4A1B32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72"/>
        <w:gridCol w:w="271"/>
        <w:gridCol w:w="272"/>
        <w:gridCol w:w="56"/>
        <w:gridCol w:w="214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7"/>
        <w:gridCol w:w="134"/>
        <w:gridCol w:w="157"/>
        <w:gridCol w:w="287"/>
        <w:gridCol w:w="287"/>
        <w:gridCol w:w="287"/>
        <w:gridCol w:w="272"/>
        <w:gridCol w:w="273"/>
        <w:gridCol w:w="273"/>
        <w:gridCol w:w="128"/>
        <w:gridCol w:w="144"/>
        <w:gridCol w:w="273"/>
        <w:gridCol w:w="272"/>
        <w:gridCol w:w="272"/>
        <w:gridCol w:w="271"/>
      </w:tblGrid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4A1B32" w:rsidRPr="004A1B32" w:rsidRDefault="004A1B32" w:rsidP="004A1B3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0"/>
                <w:szCs w:val="16"/>
                <w:lang w:eastAsia="es-ES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4A1B32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4A1B32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4A1B32" w:rsidRPr="004A1B32" w:rsidTr="004A1B3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4A1B32" w:rsidRPr="004A1B32" w:rsidRDefault="004A1B32" w:rsidP="004A1B32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4A1B32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4A1B32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4A1B32" w:rsidRPr="004A1B32" w:rsidRDefault="004A1B32" w:rsidP="004A1B32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4A1B32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Calle Colombia esquina </w:t>
            </w:r>
            <w:proofErr w:type="spellStart"/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N°</w:t>
            </w:r>
            <w:proofErr w:type="spellEnd"/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 xml:space="preserve"> 655</w:t>
            </w:r>
          </w:p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4A1B32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4A1B32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4A1B32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Lic. 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COORDINADOR BIENES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A1B32">
              <w:rPr>
                <w:rFonts w:ascii="Arial" w:hAnsi="Arial" w:cs="Arial"/>
                <w:sz w:val="16"/>
                <w:szCs w:val="16"/>
                <w:lang w:eastAsia="es-ES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4A1B32" w:rsidRPr="004A1B32" w:rsidTr="004A1B32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:rsidR="004A1B32" w:rsidRPr="004A1B32" w:rsidRDefault="004A1B32" w:rsidP="004A1B32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4A1B32" w:rsidRPr="004A1B32" w:rsidRDefault="004A1B32" w:rsidP="004A1B32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4A1B32" w:rsidRPr="004A1B32" w:rsidRDefault="004A1B32" w:rsidP="004A1B3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4A1B32" w:rsidRPr="004A1B32" w:rsidRDefault="004A1B32" w:rsidP="004A1B3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A1B32" w:rsidRPr="004A1B32" w:rsidTr="004A1B3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4A1B3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es-BO" w:eastAsia="es-ES"/>
              </w:rPr>
              <w:br w:type="page"/>
            </w:r>
            <w:r w:rsidRPr="004A1B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4A1B32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4A1B32" w:rsidRPr="004A1B32" w:rsidTr="00CC38A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A1B32" w:rsidRPr="004A1B32" w:rsidRDefault="004A1B32" w:rsidP="004A1B32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4A1B32" w:rsidRPr="004A1B32" w:rsidRDefault="004A1B32" w:rsidP="004A1B32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4A1B32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4A1B32" w:rsidRPr="004A1B32" w:rsidRDefault="004A1B32" w:rsidP="004A1B32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4A1B32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4A1B32" w:rsidRPr="004A1B32" w:rsidRDefault="004A1B32" w:rsidP="004A1B32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4A1B32" w:rsidRPr="004A1B32" w:rsidRDefault="004A1B32" w:rsidP="004A1B32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b/>
                <w:sz w:val="18"/>
                <w:szCs w:val="16"/>
                <w:lang w:val="es-BO" w:eastAsia="es-ES"/>
              </w:rPr>
              <w:t>El incumplimiento a los plazos señalados precedentemente será considerado como inobservancia a la normativa.</w:t>
            </w:r>
          </w:p>
        </w:tc>
      </w:tr>
      <w:tr w:rsidR="004A1B32" w:rsidRPr="004A1B32" w:rsidTr="004A1B3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b/>
                <w:bCs/>
                <w:sz w:val="18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LUGAR Y DIRECCIÓN</w:t>
            </w: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Publicación del DBC en el SICOES</w:t>
            </w: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Calle Colombia esquina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proofErr w:type="spellStart"/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Falsuri</w:t>
            </w:r>
            <w:proofErr w:type="spellEnd"/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</w:t>
            </w:r>
            <w:proofErr w:type="spellStart"/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N°</w:t>
            </w:r>
            <w:proofErr w:type="spellEnd"/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15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15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00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15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Presentación</w:t>
            </w:r>
          </w:p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de Propuestas</w:t>
            </w:r>
            <w:r w:rsidRPr="004A1B32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(Recepción de correspondencia)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BO"/>
              </w:rPr>
            </w:pPr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4A1B32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(Sala de Apertura de Sobres</w:t>
            </w:r>
            <w:r w:rsidRPr="004A1B32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A1B32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09</w:t>
            </w:r>
          </w:p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4A1B32"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</w:p>
        </w:tc>
      </w:tr>
      <w:tr w:rsidR="004A1B32" w:rsidRPr="004A1B32" w:rsidTr="004A1B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1B32" w:rsidRPr="004A1B32" w:rsidRDefault="004A1B32" w:rsidP="004A1B3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</w:tbl>
    <w:p w:rsidR="004A1B32" w:rsidRPr="004A1B32" w:rsidRDefault="004A1B32" w:rsidP="004A1B3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4A1B32" w:rsidRPr="004A1B32" w:rsidRDefault="004A1B32" w:rsidP="004A1B3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4A1B32" w:rsidRPr="004A1B32" w:rsidRDefault="004A1B32" w:rsidP="004A1B3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val="es-BO" w:eastAsia="es-ES"/>
        </w:rPr>
      </w:pPr>
    </w:p>
    <w:p w:rsidR="0085406F" w:rsidRDefault="004A1B32"/>
    <w:sectPr w:rsidR="0085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32"/>
    <w:rsid w:val="004A1B32"/>
    <w:rsid w:val="005175EB"/>
    <w:rsid w:val="008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CB4"/>
  <w15:chartTrackingRefBased/>
  <w15:docId w15:val="{D8F1C12C-129E-4F67-9141-EB98B63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A1B32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4A1B32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4A1B32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4A1B32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</w:rPr>
  </w:style>
  <w:style w:type="paragraph" w:styleId="Ttulo5">
    <w:name w:val="heading 5"/>
    <w:basedOn w:val="Normal"/>
    <w:next w:val="Normal"/>
    <w:link w:val="Ttulo5Car"/>
    <w:rsid w:val="004A1B32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paragraph" w:styleId="Ttulo6">
    <w:name w:val="heading 6"/>
    <w:basedOn w:val="Normal"/>
    <w:next w:val="Normal"/>
    <w:link w:val="Ttulo6Car"/>
    <w:rsid w:val="004A1B32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rsid w:val="004A1B32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4A1B32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1B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A1B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A1B3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A1B32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4A1B3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A1B3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A1B3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A1B32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4A1B32"/>
  </w:style>
  <w:style w:type="paragraph" w:styleId="Textocomentario">
    <w:name w:val="annotation text"/>
    <w:aliases w:val=" Car Car"/>
    <w:basedOn w:val="Normal"/>
    <w:link w:val="TextocomentarioCar"/>
    <w:unhideWhenUsed/>
    <w:rsid w:val="004A1B32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A1B32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4A1B32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</w:rPr>
  </w:style>
  <w:style w:type="character" w:styleId="Hipervnculo">
    <w:name w:val="Hyperlink"/>
    <w:uiPriority w:val="99"/>
    <w:rsid w:val="004A1B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A1B32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A1B32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A1B32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1B32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A1B32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A1B3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4A1B3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4A1B32"/>
  </w:style>
  <w:style w:type="table" w:styleId="Tablaconcuadrcula">
    <w:name w:val="Table Grid"/>
    <w:basedOn w:val="Tablanormal"/>
    <w:uiPriority w:val="39"/>
    <w:rsid w:val="004A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A1B32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rsid w:val="004A1B32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A1B32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B32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B32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4A1B3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A1B32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4A1B3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A1B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B3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B32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A1B32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4A1B3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A1B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A1B3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A1B32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4A1B3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4A1B32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A1B32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A1B3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A1B32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A1B32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W-Textosinformato">
    <w:name w:val="WW-Texto sin formato"/>
    <w:basedOn w:val="Normal"/>
    <w:rsid w:val="004A1B32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4A1B3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1B32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A1B3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A1B3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4A1B32"/>
    <w:rPr>
      <w:rFonts w:ascii="Segoe UI" w:hAnsi="Segoe UI" w:cs="Segoe UI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4A1B32"/>
    <w:pPr>
      <w:spacing w:after="20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4A1B3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A1B32"/>
    <w:pPr>
      <w:spacing w:after="100" w:line="276" w:lineRule="auto"/>
      <w:ind w:left="220"/>
      <w:jc w:val="both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1B32"/>
    <w:pPr>
      <w:spacing w:after="100" w:line="276" w:lineRule="auto"/>
      <w:jc w:val="both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A1B32"/>
    <w:pPr>
      <w:spacing w:after="100" w:line="276" w:lineRule="auto"/>
      <w:ind w:left="440"/>
      <w:jc w:val="both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4A1B32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4A1B32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A1B3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1B3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A1B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A1B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2021-01-13T19:55:00Z</dcterms:created>
  <dcterms:modified xsi:type="dcterms:W3CDTF">2021-01-13T19:55:00Z</dcterms:modified>
</cp:coreProperties>
</file>