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6" w:rsidRPr="00B30996" w:rsidRDefault="00DC7146" w:rsidP="00DC7146">
      <w:pPr>
        <w:rPr>
          <w:rFonts w:cs="Calibri"/>
          <w:sz w:val="40"/>
          <w:szCs w:val="40"/>
        </w:rPr>
      </w:pPr>
    </w:p>
    <w:p w:rsidR="00DC7146" w:rsidRPr="00B30996" w:rsidRDefault="00DC7146" w:rsidP="00DC7146">
      <w:pPr>
        <w:rPr>
          <w:rFonts w:cs="Calibri"/>
          <w:b/>
          <w:bCs/>
          <w:sz w:val="40"/>
          <w:szCs w:val="40"/>
        </w:rPr>
      </w:pPr>
    </w:p>
    <w:p w:rsidR="004A15FE" w:rsidRPr="00B30996" w:rsidRDefault="004A15FE" w:rsidP="00DC7146">
      <w:pPr>
        <w:rPr>
          <w:rFonts w:cs="Calibri"/>
          <w:b/>
          <w:bCs/>
          <w:sz w:val="40"/>
          <w:szCs w:val="40"/>
        </w:rPr>
      </w:pPr>
    </w:p>
    <w:p w:rsidR="00A44BF2" w:rsidRDefault="00A13F6A" w:rsidP="007B56AC">
      <w:pPr>
        <w:jc w:val="center"/>
        <w:rPr>
          <w:rFonts w:cs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687102" cy="1486601"/>
            <wp:effectExtent l="0" t="0" r="0" b="0"/>
            <wp:docPr id="1" name="Imagen 1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3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AC" w:rsidRDefault="007B56AC" w:rsidP="007B56AC">
      <w:pPr>
        <w:jc w:val="center"/>
        <w:rPr>
          <w:rFonts w:cs="Calibri"/>
          <w:b/>
          <w:bCs/>
          <w:sz w:val="40"/>
          <w:szCs w:val="40"/>
        </w:rPr>
      </w:pPr>
    </w:p>
    <w:p w:rsidR="007B56AC" w:rsidRPr="00B30996" w:rsidRDefault="007B56AC" w:rsidP="007B56AC">
      <w:pPr>
        <w:jc w:val="center"/>
        <w:rPr>
          <w:rFonts w:cs="Calibri"/>
          <w:b/>
          <w:bCs/>
          <w:sz w:val="40"/>
          <w:szCs w:val="40"/>
        </w:rPr>
      </w:pPr>
    </w:p>
    <w:p w:rsidR="00653E17" w:rsidRPr="00B30996" w:rsidRDefault="00653E17" w:rsidP="00653E17">
      <w:pPr>
        <w:jc w:val="center"/>
        <w:rPr>
          <w:rFonts w:cs="Calibri"/>
          <w:b/>
          <w:bCs/>
          <w:sz w:val="40"/>
          <w:szCs w:val="40"/>
        </w:rPr>
      </w:pPr>
      <w:r w:rsidRPr="00B30996">
        <w:rPr>
          <w:rFonts w:cs="Calibri"/>
          <w:b/>
          <w:bCs/>
          <w:sz w:val="40"/>
          <w:szCs w:val="40"/>
        </w:rPr>
        <w:t xml:space="preserve">ESPECIFICACIÓN </w:t>
      </w:r>
      <w:r w:rsidR="00933AF3" w:rsidRPr="00B30996">
        <w:rPr>
          <w:rFonts w:cs="Calibri"/>
          <w:b/>
          <w:bCs/>
          <w:sz w:val="40"/>
          <w:szCs w:val="40"/>
        </w:rPr>
        <w:t>TÉCNICA</w:t>
      </w:r>
      <w:r w:rsidR="00DD1210" w:rsidRPr="00B30996">
        <w:rPr>
          <w:rFonts w:cs="Calibri"/>
          <w:b/>
          <w:bCs/>
          <w:sz w:val="40"/>
          <w:szCs w:val="40"/>
        </w:rPr>
        <w:t xml:space="preserve"> </w:t>
      </w:r>
      <w:r w:rsidRPr="00B30996">
        <w:rPr>
          <w:rFonts w:cs="Calibri"/>
          <w:b/>
          <w:bCs/>
          <w:sz w:val="40"/>
          <w:szCs w:val="40"/>
        </w:rPr>
        <w:t xml:space="preserve">PARA </w:t>
      </w:r>
      <w:r w:rsidR="00DD1210" w:rsidRPr="00B30996">
        <w:rPr>
          <w:rFonts w:cs="Calibri"/>
          <w:b/>
          <w:bCs/>
          <w:sz w:val="40"/>
          <w:szCs w:val="40"/>
        </w:rPr>
        <w:t xml:space="preserve">LA </w:t>
      </w:r>
      <w:r w:rsidRPr="00B30996">
        <w:rPr>
          <w:rFonts w:cs="Calibri"/>
          <w:b/>
          <w:bCs/>
          <w:sz w:val="40"/>
          <w:szCs w:val="40"/>
        </w:rPr>
        <w:t xml:space="preserve">PROVISIÓN DE </w:t>
      </w:r>
    </w:p>
    <w:p w:rsidR="00543B58" w:rsidRPr="00B30996" w:rsidRDefault="00543B58" w:rsidP="00543B58">
      <w:pPr>
        <w:jc w:val="center"/>
        <w:rPr>
          <w:rFonts w:cs="Calibri"/>
          <w:b/>
          <w:bCs/>
          <w:sz w:val="40"/>
          <w:szCs w:val="40"/>
        </w:rPr>
      </w:pPr>
    </w:p>
    <w:p w:rsidR="008956F9" w:rsidRPr="00B30996" w:rsidRDefault="00DD6073" w:rsidP="00543B58">
      <w:pPr>
        <w:jc w:val="center"/>
        <w:rPr>
          <w:rFonts w:cs="Calibri"/>
          <w:b/>
          <w:bCs/>
          <w:sz w:val="40"/>
          <w:szCs w:val="40"/>
        </w:rPr>
      </w:pPr>
      <w:r w:rsidRPr="00B30996">
        <w:rPr>
          <w:rFonts w:cs="Calibri"/>
          <w:b/>
          <w:bCs/>
          <w:sz w:val="40"/>
          <w:szCs w:val="40"/>
        </w:rPr>
        <w:t>BANCO</w:t>
      </w:r>
      <w:r w:rsidR="00C005AB" w:rsidRPr="00B30996">
        <w:rPr>
          <w:rFonts w:cs="Calibri"/>
          <w:b/>
          <w:bCs/>
          <w:sz w:val="40"/>
          <w:szCs w:val="40"/>
        </w:rPr>
        <w:t>S</w:t>
      </w:r>
      <w:r w:rsidRPr="00B30996">
        <w:rPr>
          <w:rFonts w:cs="Calibri"/>
          <w:b/>
          <w:bCs/>
          <w:sz w:val="40"/>
          <w:szCs w:val="40"/>
        </w:rPr>
        <w:t xml:space="preserve"> DE CAPACITORES</w:t>
      </w:r>
      <w:r w:rsidR="00264E2E" w:rsidRPr="00B30996">
        <w:rPr>
          <w:rFonts w:cs="Calibri"/>
          <w:b/>
          <w:bCs/>
          <w:sz w:val="40"/>
          <w:szCs w:val="40"/>
        </w:rPr>
        <w:t xml:space="preserve"> SHUNT DE POTENCIA</w:t>
      </w:r>
    </w:p>
    <w:p w:rsidR="00252076" w:rsidRPr="00B30996" w:rsidRDefault="00252076" w:rsidP="00543B58">
      <w:pPr>
        <w:jc w:val="center"/>
        <w:rPr>
          <w:rFonts w:cs="Calibri"/>
          <w:b/>
          <w:bCs/>
          <w:sz w:val="32"/>
          <w:szCs w:val="32"/>
        </w:rPr>
      </w:pPr>
    </w:p>
    <w:p w:rsidR="00252076" w:rsidRPr="00B30996" w:rsidRDefault="00252076" w:rsidP="00543B58">
      <w:pPr>
        <w:jc w:val="center"/>
        <w:rPr>
          <w:rFonts w:cs="Calibri"/>
          <w:b/>
          <w:bCs/>
          <w:sz w:val="32"/>
          <w:szCs w:val="32"/>
        </w:rPr>
      </w:pPr>
    </w:p>
    <w:p w:rsidR="00252076" w:rsidRDefault="0079571C" w:rsidP="00CC7F61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7.</w:t>
      </w:r>
      <w:r w:rsidRPr="00CD6024">
        <w:rPr>
          <w:rFonts w:cs="Calibri"/>
          <w:b/>
          <w:bCs/>
          <w:sz w:val="32"/>
          <w:szCs w:val="32"/>
        </w:rPr>
        <w:t xml:space="preserve">2 </w:t>
      </w:r>
      <w:r w:rsidR="006F123E" w:rsidRPr="00CD6024">
        <w:rPr>
          <w:rFonts w:cs="Calibri"/>
          <w:b/>
          <w:bCs/>
          <w:sz w:val="32"/>
          <w:szCs w:val="32"/>
        </w:rPr>
        <w:t xml:space="preserve">MVAr, </w:t>
      </w:r>
      <w:r w:rsidR="00CC7F61" w:rsidRPr="00CD6024">
        <w:rPr>
          <w:rFonts w:cs="Calibri"/>
          <w:b/>
          <w:bCs/>
          <w:sz w:val="32"/>
          <w:szCs w:val="32"/>
        </w:rPr>
        <w:t>1</w:t>
      </w:r>
      <w:r w:rsidR="00456DEF">
        <w:rPr>
          <w:rFonts w:cs="Calibri"/>
          <w:b/>
          <w:bCs/>
          <w:sz w:val="32"/>
          <w:szCs w:val="32"/>
        </w:rPr>
        <w:t>4</w:t>
      </w:r>
      <w:r w:rsidR="00C37FC1" w:rsidRPr="00CD6024">
        <w:rPr>
          <w:rFonts w:cs="Calibri"/>
          <w:b/>
          <w:bCs/>
          <w:sz w:val="32"/>
          <w:szCs w:val="32"/>
        </w:rPr>
        <w:t>5</w:t>
      </w:r>
      <w:r w:rsidR="00CC7F61" w:rsidRPr="00CD6024">
        <w:rPr>
          <w:rFonts w:cs="Calibri"/>
          <w:b/>
          <w:bCs/>
          <w:sz w:val="32"/>
          <w:szCs w:val="32"/>
        </w:rPr>
        <w:t xml:space="preserve"> </w:t>
      </w:r>
      <w:r w:rsidR="00D01754">
        <w:rPr>
          <w:rFonts w:cs="Calibri"/>
          <w:b/>
          <w:bCs/>
          <w:sz w:val="32"/>
          <w:szCs w:val="32"/>
        </w:rPr>
        <w:t xml:space="preserve">kV </w:t>
      </w:r>
    </w:p>
    <w:p w:rsidR="00D01754" w:rsidRDefault="00D01754" w:rsidP="00CC7F61">
      <w:pPr>
        <w:jc w:val="center"/>
        <w:rPr>
          <w:rFonts w:cs="Calibri"/>
          <w:b/>
          <w:bCs/>
          <w:sz w:val="32"/>
          <w:szCs w:val="32"/>
        </w:rPr>
      </w:pPr>
    </w:p>
    <w:p w:rsidR="00A13F6A" w:rsidRPr="00B30996" w:rsidRDefault="00A13F6A" w:rsidP="00CC7F61">
      <w:pPr>
        <w:jc w:val="center"/>
        <w:rPr>
          <w:rFonts w:cs="Calibri"/>
          <w:b/>
          <w:bCs/>
          <w:sz w:val="32"/>
          <w:szCs w:val="32"/>
        </w:rPr>
      </w:pPr>
    </w:p>
    <w:p w:rsidR="00D96DE2" w:rsidRPr="00B30996" w:rsidRDefault="00D96DE2" w:rsidP="00543B58">
      <w:pPr>
        <w:jc w:val="center"/>
        <w:rPr>
          <w:rFonts w:cs="Calibri"/>
          <w:b/>
          <w:bCs/>
          <w:sz w:val="40"/>
          <w:szCs w:val="40"/>
        </w:rPr>
      </w:pPr>
    </w:p>
    <w:p w:rsidR="00A44BF2" w:rsidRPr="00B30996" w:rsidRDefault="00A44BF2" w:rsidP="00543B58">
      <w:pPr>
        <w:jc w:val="center"/>
        <w:rPr>
          <w:rFonts w:cs="Calibri"/>
          <w:b/>
          <w:bCs/>
          <w:sz w:val="40"/>
          <w:szCs w:val="40"/>
        </w:rPr>
      </w:pPr>
    </w:p>
    <w:p w:rsidR="00DC7146" w:rsidRPr="00B30996" w:rsidRDefault="000606B6" w:rsidP="00543B58">
      <w:pPr>
        <w:jc w:val="center"/>
        <w:rPr>
          <w:rFonts w:cs="Calibri"/>
          <w:b/>
          <w:bCs/>
          <w:sz w:val="40"/>
          <w:szCs w:val="40"/>
        </w:rPr>
      </w:pPr>
      <w:r w:rsidRPr="00B30996">
        <w:rPr>
          <w:rFonts w:cs="Calibri"/>
          <w:b/>
          <w:bCs/>
          <w:sz w:val="40"/>
          <w:szCs w:val="40"/>
        </w:rPr>
        <w:t>COCHABAMBA</w:t>
      </w:r>
      <w:r w:rsidR="00543B58" w:rsidRPr="00B30996">
        <w:rPr>
          <w:rFonts w:cs="Calibri"/>
          <w:b/>
          <w:bCs/>
          <w:sz w:val="40"/>
          <w:szCs w:val="40"/>
        </w:rPr>
        <w:t xml:space="preserve"> - BOLIVIA</w:t>
      </w:r>
    </w:p>
    <w:p w:rsidR="00D96DE2" w:rsidRPr="00B30996" w:rsidRDefault="00D96DE2" w:rsidP="00DC7146">
      <w:pPr>
        <w:jc w:val="center"/>
        <w:rPr>
          <w:rFonts w:cs="Calibri"/>
          <w:b/>
          <w:bCs/>
          <w:sz w:val="40"/>
          <w:szCs w:val="40"/>
        </w:rPr>
      </w:pPr>
    </w:p>
    <w:p w:rsidR="0039305A" w:rsidRPr="00801D5A" w:rsidRDefault="00DC7146" w:rsidP="006005F9">
      <w:pPr>
        <w:rPr>
          <w:lang w:val="es-ES_tradnl"/>
        </w:rPr>
      </w:pPr>
      <w:r w:rsidRPr="00B30996">
        <w:rPr>
          <w:rFonts w:cs="Calibri"/>
        </w:rPr>
        <w:br w:type="page"/>
      </w:r>
    </w:p>
    <w:p w:rsidR="003A0490" w:rsidRPr="003A0490" w:rsidRDefault="0070721A" w:rsidP="003A0490">
      <w:pPr>
        <w:jc w:val="center"/>
        <w:rPr>
          <w:b/>
        </w:rPr>
      </w:pPr>
      <w:r w:rsidRPr="003A0490">
        <w:rPr>
          <w:b/>
        </w:rPr>
        <w:lastRenderedPageBreak/>
        <w:t>ÍNDICE</w:t>
      </w:r>
    </w:p>
    <w:p w:rsidR="00D01754" w:rsidRDefault="00CA0E29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r>
        <w:rPr>
          <w:b/>
        </w:rPr>
        <w:fldChar w:fldCharType="begin"/>
      </w:r>
      <w:r w:rsidR="003A0490">
        <w:instrText xml:space="preserve"> TOC \o "1-3" \h \z \u </w:instrText>
      </w:r>
      <w:r>
        <w:rPr>
          <w:b/>
        </w:rPr>
        <w:fldChar w:fldCharType="separate"/>
      </w:r>
      <w:hyperlink w:anchor="_Toc530065333" w:history="1">
        <w:r w:rsidR="00D01754" w:rsidRPr="00BD3EDF">
          <w:rPr>
            <w:rStyle w:val="Hipervnculo"/>
          </w:rPr>
          <w:t>1.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ALCANCE</w:t>
        </w:r>
        <w:r w:rsidR="00D01754">
          <w:rPr>
            <w:webHidden/>
          </w:rPr>
          <w:tab/>
        </w:r>
        <w:r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0175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4" w:history="1">
        <w:r w:rsidR="00D01754" w:rsidRPr="00BD3EDF">
          <w:rPr>
            <w:rStyle w:val="Hipervnculo"/>
          </w:rPr>
          <w:t>2.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NORMAS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_Toc530065334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3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5" w:history="1">
        <w:r w:rsidR="00D01754" w:rsidRPr="00BD3EDF">
          <w:rPr>
            <w:rStyle w:val="Hipervnculo"/>
          </w:rPr>
          <w:t>3.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CONDICIONES AMBIENTALES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_Toc530065335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3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6" w:history="1">
        <w:r w:rsidR="00D01754" w:rsidRPr="00BD3EDF">
          <w:rPr>
            <w:rStyle w:val="Hipervnculo"/>
          </w:rPr>
          <w:t>4.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TIPO Y CONSTRUCCIÓN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_Toc530065336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3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7" w:history="1">
        <w:r w:rsidR="00D01754" w:rsidRPr="00BD3EDF">
          <w:rPr>
            <w:rStyle w:val="Hipervnculo"/>
          </w:rPr>
          <w:t>5.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REACTORES DE AMORTIGUAMIENTO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_Toc530065337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4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8" w:history="1">
        <w:r w:rsidR="00D01754" w:rsidRPr="00BD3EDF">
          <w:rPr>
            <w:rStyle w:val="Hipervnculo"/>
          </w:rPr>
          <w:t>6.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TRANSFORMADORES DE CORRIENTE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_Toc530065338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4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39" w:history="1">
        <w:r w:rsidR="00D01754" w:rsidRPr="00BD3EDF">
          <w:rPr>
            <w:rStyle w:val="Hipervnculo"/>
          </w:rPr>
          <w:t>7.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ACCESORIOS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_Toc530065339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4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0" w:history="1">
        <w:r w:rsidR="00D01754" w:rsidRPr="00BD3EDF">
          <w:rPr>
            <w:rStyle w:val="Hipervnculo"/>
          </w:rPr>
          <w:t>8.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PRUEBAS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_Toc530065340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5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2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1" w:history="1">
        <w:r w:rsidR="00D01754" w:rsidRPr="00BD3EDF">
          <w:rPr>
            <w:rStyle w:val="Hipervnculo"/>
          </w:rPr>
          <w:t>8.1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Pruebas tipo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_Toc530065341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5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2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2" w:history="1">
        <w:r w:rsidR="00D01754" w:rsidRPr="00BD3EDF">
          <w:rPr>
            <w:rStyle w:val="Hipervnculo"/>
          </w:rPr>
          <w:t>8.2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Pruebas de rutina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_Toc530065342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5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3" w:history="1">
        <w:r w:rsidR="00D01754" w:rsidRPr="00BD3EDF">
          <w:rPr>
            <w:rStyle w:val="Hipervnculo"/>
          </w:rPr>
          <w:t>9.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REPUESTOS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_Toc530065343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5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4" w:history="1">
        <w:r w:rsidR="00D01754" w:rsidRPr="00BD3EDF">
          <w:rPr>
            <w:rStyle w:val="Hipervnculo"/>
          </w:rPr>
          <w:t>10.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INFORMACIÓN A SER PRESENTADA POR EL PROPONENTE EN SU PROPUESTA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_Toc530065344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6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5" w:history="1">
        <w:r w:rsidR="00D01754" w:rsidRPr="00BD3EDF">
          <w:rPr>
            <w:rStyle w:val="Hipervnculo"/>
          </w:rPr>
          <w:t>11.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INFORMACIÓN A SER PRESENTADA DESPUÉS DE LA FIRMA DE CONTRATO U ORDEN DE PROCEDER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_Toc530065345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6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6" w:history="1">
        <w:r w:rsidR="00D01754" w:rsidRPr="00BD3EDF">
          <w:rPr>
            <w:rStyle w:val="Hipervnculo"/>
          </w:rPr>
          <w:t>12.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EMBALAJE Y TRANSPORTE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_Toc530065346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7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7" w:history="1">
        <w:r w:rsidR="00D01754" w:rsidRPr="00BD3EDF">
          <w:rPr>
            <w:rStyle w:val="Hipervnculo"/>
          </w:rPr>
          <w:t>13.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LISTA DE ITEMS ESTANDARIZADOS PARA BANCOS DE CAPACITORES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_Toc530065347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7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8" w:history="1">
        <w:r w:rsidR="00D01754" w:rsidRPr="00BD3EDF">
          <w:rPr>
            <w:rStyle w:val="Hipervnculo"/>
          </w:rPr>
          <w:t>14.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PLANILLA DE DATOS TÉCNICOS GARANTIZADOS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_Toc530065348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8</w:t>
        </w:r>
        <w:r w:rsidR="00CA0E29">
          <w:rPr>
            <w:webHidden/>
          </w:rPr>
          <w:fldChar w:fldCharType="end"/>
        </w:r>
      </w:hyperlink>
    </w:p>
    <w:p w:rsidR="00D01754" w:rsidRDefault="00885DB6">
      <w:pPr>
        <w:pStyle w:val="TDC1"/>
        <w:rPr>
          <w:rFonts w:asciiTheme="minorHAnsi" w:eastAsiaTheme="minorEastAsia" w:hAnsiTheme="minorHAnsi" w:cstheme="minorBidi"/>
          <w:w w:val="100"/>
          <w:sz w:val="22"/>
          <w:szCs w:val="22"/>
          <w:lang w:val="es-MX" w:eastAsia="es-MX"/>
        </w:rPr>
      </w:pPr>
      <w:hyperlink w:anchor="_Toc530065349" w:history="1">
        <w:r w:rsidR="00D01754" w:rsidRPr="00BD3EDF">
          <w:rPr>
            <w:rStyle w:val="Hipervnculo"/>
          </w:rPr>
          <w:t>15.</w:t>
        </w:r>
        <w:r w:rsidR="00D01754">
          <w:rPr>
            <w:rFonts w:asciiTheme="minorHAnsi" w:eastAsiaTheme="minorEastAsia" w:hAnsiTheme="minorHAnsi" w:cstheme="minorBidi"/>
            <w:w w:val="100"/>
            <w:sz w:val="22"/>
            <w:szCs w:val="22"/>
            <w:lang w:val="es-MX" w:eastAsia="es-MX"/>
          </w:rPr>
          <w:tab/>
        </w:r>
        <w:r w:rsidR="00D01754" w:rsidRPr="00BD3EDF">
          <w:rPr>
            <w:rStyle w:val="Hipervnculo"/>
          </w:rPr>
          <w:t>DISPOSICIÓN DE COMPONENTES DEL BANCO DE CAPACITORES</w:t>
        </w:r>
        <w:r w:rsidR="00D01754">
          <w:rPr>
            <w:webHidden/>
          </w:rPr>
          <w:tab/>
        </w:r>
        <w:r w:rsidR="00CA0E29">
          <w:rPr>
            <w:webHidden/>
          </w:rPr>
          <w:fldChar w:fldCharType="begin"/>
        </w:r>
        <w:r w:rsidR="00D01754">
          <w:rPr>
            <w:webHidden/>
          </w:rPr>
          <w:instrText xml:space="preserve"> PAGEREF _Toc530065349 \h </w:instrText>
        </w:r>
        <w:r w:rsidR="00CA0E29">
          <w:rPr>
            <w:webHidden/>
          </w:rPr>
        </w:r>
        <w:r w:rsidR="00CA0E29">
          <w:rPr>
            <w:webHidden/>
          </w:rPr>
          <w:fldChar w:fldCharType="separate"/>
        </w:r>
        <w:r w:rsidR="00D01754">
          <w:rPr>
            <w:webHidden/>
          </w:rPr>
          <w:t>12</w:t>
        </w:r>
        <w:r w:rsidR="00CA0E29">
          <w:rPr>
            <w:webHidden/>
          </w:rPr>
          <w:fldChar w:fldCharType="end"/>
        </w:r>
      </w:hyperlink>
    </w:p>
    <w:p w:rsidR="00D00980" w:rsidRDefault="00CA0E29" w:rsidP="006005F9">
      <w:r>
        <w:fldChar w:fldCharType="end"/>
      </w:r>
    </w:p>
    <w:p w:rsidR="00D00980" w:rsidRDefault="00D00980" w:rsidP="006005F9"/>
    <w:p w:rsidR="00D00980" w:rsidRDefault="00D00980" w:rsidP="006005F9"/>
    <w:p w:rsidR="0039305A" w:rsidRDefault="0039305A" w:rsidP="006005F9">
      <w:r>
        <w:br w:type="page"/>
      </w:r>
    </w:p>
    <w:p w:rsidR="002F2BEB" w:rsidRDefault="00511717" w:rsidP="006005F9">
      <w:pPr>
        <w:pStyle w:val="Ttulo"/>
      </w:pPr>
      <w:r w:rsidRPr="002E4EA5">
        <w:lastRenderedPageBreak/>
        <w:t xml:space="preserve">ESPECIFICACIONES TÉCNICAS </w:t>
      </w:r>
      <w:r w:rsidR="00C030B4">
        <w:t xml:space="preserve">PARA LA PROVISIÓN </w:t>
      </w:r>
      <w:r w:rsidR="00A132B0">
        <w:t xml:space="preserve">DE </w:t>
      </w:r>
    </w:p>
    <w:p w:rsidR="00511717" w:rsidRDefault="00C005AB" w:rsidP="006005F9">
      <w:pPr>
        <w:pStyle w:val="Ttulo"/>
      </w:pPr>
      <w:r>
        <w:t>BANCOS DE CAPACITORES</w:t>
      </w:r>
      <w:r w:rsidR="00264E2E">
        <w:t xml:space="preserve"> SHUNT DE POTENCIA</w:t>
      </w:r>
    </w:p>
    <w:p w:rsidR="00C005AB" w:rsidRPr="00252076" w:rsidRDefault="0079571C" w:rsidP="00C005AB">
      <w:pPr>
        <w:pStyle w:val="Ttulo"/>
        <w:rPr>
          <w:sz w:val="24"/>
        </w:rPr>
      </w:pPr>
      <w:bookmarkStart w:id="0" w:name="_Toc287470543"/>
      <w:bookmarkStart w:id="1" w:name="_Toc316330579"/>
      <w:r>
        <w:rPr>
          <w:sz w:val="24"/>
        </w:rPr>
        <w:t>7.</w:t>
      </w:r>
      <w:r w:rsidRPr="006F123E">
        <w:rPr>
          <w:sz w:val="24"/>
        </w:rPr>
        <w:t xml:space="preserve">2 </w:t>
      </w:r>
      <w:r w:rsidR="006F123E" w:rsidRPr="006F123E">
        <w:rPr>
          <w:sz w:val="24"/>
        </w:rPr>
        <w:t xml:space="preserve">MVAr, </w:t>
      </w:r>
      <w:r w:rsidR="00456DEF">
        <w:rPr>
          <w:sz w:val="24"/>
        </w:rPr>
        <w:t>145</w:t>
      </w:r>
      <w:r w:rsidR="006F123E" w:rsidRPr="006F123E">
        <w:rPr>
          <w:sz w:val="24"/>
        </w:rPr>
        <w:t xml:space="preserve"> kV</w:t>
      </w:r>
    </w:p>
    <w:p w:rsidR="00106C4E" w:rsidRPr="00377E90" w:rsidRDefault="005221B1" w:rsidP="00252076">
      <w:pPr>
        <w:pStyle w:val="Ttulo1"/>
      </w:pPr>
      <w:bookmarkStart w:id="2" w:name="_Toc530065333"/>
      <w:r w:rsidRPr="00377E90">
        <w:t>ALCANCE</w:t>
      </w:r>
      <w:bookmarkEnd w:id="0"/>
      <w:bookmarkEnd w:id="1"/>
      <w:bookmarkEnd w:id="2"/>
    </w:p>
    <w:p w:rsidR="00CC7F61" w:rsidRDefault="000E3423" w:rsidP="00CC7F61">
      <w:r w:rsidRPr="00DD1C0C">
        <w:t xml:space="preserve">Este documento especifica los requerimientos detallados para el diseño, fabricación, pruebas y </w:t>
      </w:r>
      <w:r>
        <w:t>garantías de funcionamiento para el suministro de</w:t>
      </w:r>
      <w:r w:rsidRPr="00DD1C0C">
        <w:t xml:space="preserve"> </w:t>
      </w:r>
      <w:r>
        <w:t xml:space="preserve">bancos de capacitores shunt de potencia </w:t>
      </w:r>
      <w:r w:rsidR="00596729">
        <w:t>para</w:t>
      </w:r>
      <w:r>
        <w:t xml:space="preserve">  </w:t>
      </w:r>
      <w:r w:rsidR="00456DEF">
        <w:t>145</w:t>
      </w:r>
      <w:r>
        <w:t xml:space="preserve"> kV.</w:t>
      </w:r>
    </w:p>
    <w:p w:rsidR="00DD1C0C" w:rsidRDefault="00DD1C0C" w:rsidP="00FE5498">
      <w:r>
        <w:t xml:space="preserve">Los </w:t>
      </w:r>
      <w:r w:rsidR="00C40B03">
        <w:t>bancos de capacitores</w:t>
      </w:r>
      <w:r>
        <w:t xml:space="preserve"> y sus accesorios deben cumplir con las características especificadas en la tabla de datos técnicos garantizados, y deben ser diseñados de acuerdo con los requerimientos estipulados </w:t>
      </w:r>
      <w:r w:rsidR="000230DA">
        <w:t xml:space="preserve">en </w:t>
      </w:r>
      <w:r>
        <w:t>este documento.</w:t>
      </w:r>
    </w:p>
    <w:p w:rsidR="00106C4E" w:rsidRPr="002E4EA5" w:rsidRDefault="005221B1" w:rsidP="00377E90">
      <w:pPr>
        <w:pStyle w:val="Ttulo1"/>
      </w:pPr>
      <w:bookmarkStart w:id="3" w:name="_Toc287470544"/>
      <w:bookmarkStart w:id="4" w:name="_Toc316330580"/>
      <w:bookmarkStart w:id="5" w:name="_Toc530065334"/>
      <w:r w:rsidRPr="002E4EA5">
        <w:t>NORMAS</w:t>
      </w:r>
      <w:bookmarkEnd w:id="3"/>
      <w:bookmarkEnd w:id="4"/>
      <w:bookmarkEnd w:id="5"/>
    </w:p>
    <w:p w:rsidR="00B37700" w:rsidRPr="00BC13B6" w:rsidRDefault="00B37700" w:rsidP="00B37700">
      <w:r w:rsidRPr="00BC13B6">
        <w:t xml:space="preserve">Los </w:t>
      </w:r>
      <w:r w:rsidR="00443F54">
        <w:t>bancos de capacitores</w:t>
      </w:r>
      <w:r w:rsidRPr="00BC13B6">
        <w:t xml:space="preserve"> y sus accesorios serán diseñados, fabricados y probados de acuerdo a las últimas versiones vigentes de las normas NEMA, ANSI e IEC. </w:t>
      </w:r>
    </w:p>
    <w:p w:rsidR="00B37700" w:rsidRPr="00BC13B6" w:rsidRDefault="00B37700" w:rsidP="00B37700">
      <w:r w:rsidRPr="00BC13B6">
        <w:t xml:space="preserve">Los </w:t>
      </w:r>
      <w:r w:rsidR="00B30996">
        <w:t xml:space="preserve">bancos de capacitores </w:t>
      </w:r>
      <w:r w:rsidRPr="00BC13B6">
        <w:t>deben cumplir las siguientes normas:</w:t>
      </w:r>
    </w:p>
    <w:p w:rsidR="00B37700" w:rsidRPr="00CD6024" w:rsidRDefault="00B37700" w:rsidP="003964C2">
      <w:pPr>
        <w:pStyle w:val="Prrafodelista"/>
        <w:numPr>
          <w:ilvl w:val="0"/>
          <w:numId w:val="8"/>
        </w:numPr>
        <w:rPr>
          <w:lang w:val="en-US"/>
        </w:rPr>
      </w:pPr>
      <w:r w:rsidRPr="00CD6024">
        <w:rPr>
          <w:lang w:val="en-US"/>
        </w:rPr>
        <w:t>IEC 60</w:t>
      </w:r>
      <w:r w:rsidR="00445998" w:rsidRPr="00CD6024">
        <w:rPr>
          <w:lang w:val="en-US"/>
        </w:rPr>
        <w:t>871</w:t>
      </w:r>
      <w:r w:rsidRPr="00CD6024">
        <w:rPr>
          <w:lang w:val="en-US"/>
        </w:rPr>
        <w:t>: “</w:t>
      </w:r>
      <w:r w:rsidR="00B30996" w:rsidRPr="00CD6024">
        <w:rPr>
          <w:lang w:val="en-US"/>
        </w:rPr>
        <w:t>Shunt capacitors for a.c. power systems having a rated voltage above 1000 V</w:t>
      </w:r>
      <w:r w:rsidRPr="00CD6024">
        <w:rPr>
          <w:lang w:val="en-US"/>
        </w:rPr>
        <w:t xml:space="preserve">”. </w:t>
      </w:r>
    </w:p>
    <w:p w:rsidR="00BF44DA" w:rsidRPr="00CD6024" w:rsidRDefault="00BF44DA" w:rsidP="003964C2">
      <w:pPr>
        <w:pStyle w:val="Prrafodelista"/>
        <w:numPr>
          <w:ilvl w:val="0"/>
          <w:numId w:val="8"/>
        </w:numPr>
        <w:rPr>
          <w:lang w:val="en-US"/>
        </w:rPr>
      </w:pPr>
      <w:r w:rsidRPr="00CD6024">
        <w:rPr>
          <w:lang w:val="en-US"/>
        </w:rPr>
        <w:t xml:space="preserve">IEC 60273: “Characteristics of Indoor and Outdoor Post Insulators for Systems with Nominal Voltages Greater Than 1000 V”. </w:t>
      </w:r>
    </w:p>
    <w:p w:rsidR="005274E4" w:rsidRDefault="005274E4" w:rsidP="003964C2">
      <w:pPr>
        <w:pStyle w:val="Prrafodelista"/>
        <w:numPr>
          <w:ilvl w:val="0"/>
          <w:numId w:val="8"/>
        </w:numPr>
        <w:rPr>
          <w:lang w:val="en-US"/>
        </w:rPr>
      </w:pPr>
      <w:r w:rsidRPr="00CD6024">
        <w:rPr>
          <w:lang w:val="en-US"/>
        </w:rPr>
        <w:t>IEC 60076-6: “Power Transformers - Part 6: Reactors”.</w:t>
      </w:r>
    </w:p>
    <w:p w:rsidR="00C41CC8" w:rsidRPr="002C41E5" w:rsidRDefault="00C41CC8" w:rsidP="00C41CC8">
      <w:pPr>
        <w:pStyle w:val="Prrafodelista"/>
        <w:numPr>
          <w:ilvl w:val="0"/>
          <w:numId w:val="8"/>
        </w:numPr>
        <w:rPr>
          <w:lang w:val="en-US"/>
        </w:rPr>
      </w:pPr>
      <w:r w:rsidRPr="00881736">
        <w:rPr>
          <w:lang w:val="es-BO"/>
        </w:rPr>
        <w:t>Publicación</w:t>
      </w:r>
      <w:r w:rsidRPr="002C41E5">
        <w:rPr>
          <w:lang w:val="en-US"/>
        </w:rPr>
        <w:t xml:space="preserve"> IEC 60044: "Instrument transformers"</w:t>
      </w:r>
    </w:p>
    <w:p w:rsidR="00C41CC8" w:rsidRPr="00CD6024" w:rsidRDefault="00C41CC8" w:rsidP="00C41CC8">
      <w:pPr>
        <w:pStyle w:val="Prrafodelista"/>
        <w:numPr>
          <w:ilvl w:val="0"/>
          <w:numId w:val="8"/>
        </w:numPr>
        <w:rPr>
          <w:lang w:val="en-US"/>
        </w:rPr>
      </w:pPr>
      <w:r w:rsidRPr="0046738C">
        <w:rPr>
          <w:lang w:val="en-US"/>
        </w:rPr>
        <w:t xml:space="preserve">Publicación </w:t>
      </w:r>
      <w:r w:rsidRPr="002C41E5">
        <w:rPr>
          <w:lang w:val="en-US"/>
        </w:rPr>
        <w:t>IEC 61264: “Ceramic pressurized hollow insulators for high-voltage switchgear and controlgear”</w:t>
      </w:r>
    </w:p>
    <w:p w:rsidR="00511717" w:rsidRPr="002E4EA5" w:rsidRDefault="005221B1" w:rsidP="00377E90">
      <w:pPr>
        <w:pStyle w:val="Ttulo1"/>
      </w:pPr>
      <w:bookmarkStart w:id="6" w:name="_Ref283324204"/>
      <w:bookmarkStart w:id="7" w:name="_Toc287470545"/>
      <w:bookmarkStart w:id="8" w:name="_Toc316330581"/>
      <w:bookmarkStart w:id="9" w:name="_Toc530065335"/>
      <w:r>
        <w:t>CONDICIONES AMBIENTALES</w:t>
      </w:r>
      <w:bookmarkEnd w:id="6"/>
      <w:bookmarkEnd w:id="7"/>
      <w:bookmarkEnd w:id="8"/>
      <w:bookmarkEnd w:id="9"/>
    </w:p>
    <w:p w:rsidR="00511717" w:rsidRPr="002E4EA5" w:rsidRDefault="00511717" w:rsidP="006005F9">
      <w:r w:rsidRPr="002E4EA5">
        <w:t xml:space="preserve">Las condiciones de servicio </w:t>
      </w:r>
      <w:r w:rsidR="00B82602">
        <w:t xml:space="preserve">en Bolivia, </w:t>
      </w:r>
      <w:r w:rsidRPr="002E4EA5">
        <w:t xml:space="preserve">donde </w:t>
      </w:r>
      <w:r w:rsidR="00C173D5">
        <w:t xml:space="preserve">los </w:t>
      </w:r>
      <w:r w:rsidR="00FE03CA">
        <w:t>bancos de capacitores</w:t>
      </w:r>
      <w:r w:rsidR="00C173D5">
        <w:t xml:space="preserve"> </w:t>
      </w:r>
      <w:r w:rsidR="00C66E7D" w:rsidRPr="002E4EA5">
        <w:t>estará</w:t>
      </w:r>
      <w:r w:rsidR="00C173D5">
        <w:t>n</w:t>
      </w:r>
      <w:r w:rsidRPr="002E4EA5">
        <w:t xml:space="preserve"> en servicio</w:t>
      </w:r>
      <w:r w:rsidR="000230DA">
        <w:t>,</w:t>
      </w:r>
      <w:r w:rsidRPr="002E4EA5">
        <w:t xml:space="preserve"> son las siguientes:</w:t>
      </w:r>
    </w:p>
    <w:p w:rsidR="00252076" w:rsidRPr="00E259C1" w:rsidRDefault="00511717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>Altura sobre el nivel del mar</w:t>
      </w:r>
      <w:r w:rsidR="003C5917">
        <w:t xml:space="preserve">: </w:t>
      </w:r>
      <w:r w:rsidR="00C16095">
        <w:t xml:space="preserve">1000 </w:t>
      </w:r>
      <w:r w:rsidR="003C5917">
        <w:t>metros</w:t>
      </w:r>
      <w:r w:rsidR="000F01B8" w:rsidRPr="00E259C1">
        <w:t>;</w:t>
      </w:r>
      <w:r w:rsidR="00DD1C0C" w:rsidRPr="00E259C1">
        <w:tab/>
      </w:r>
      <w:r w:rsidR="00CE26DA" w:rsidRPr="00E259C1">
        <w:tab/>
      </w:r>
      <w:r w:rsidR="00CE26DA" w:rsidRPr="00E259C1">
        <w:rPr>
          <w:b/>
        </w:rPr>
        <w:t xml:space="preserve">Para fines de aislamiento </w:t>
      </w:r>
      <w:r w:rsidR="00C16095">
        <w:rPr>
          <w:b/>
        </w:rPr>
        <w:t>1</w:t>
      </w:r>
      <w:r w:rsidR="00CE26DA" w:rsidRPr="00E259C1">
        <w:rPr>
          <w:b/>
        </w:rPr>
        <w:t>.000 metros</w:t>
      </w:r>
      <w:r w:rsidR="00CE26DA" w:rsidRPr="00E259C1">
        <w:t>.</w:t>
      </w:r>
    </w:p>
    <w:p w:rsidR="0047609D" w:rsidRPr="00E259C1" w:rsidRDefault="0047609D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>Humedad relativa ambiente máxima</w:t>
      </w:r>
      <w:r w:rsidR="000539A0">
        <w:t xml:space="preserve"> </w:t>
      </w:r>
      <w:r w:rsidR="007B56AC">
        <w:t>80</w:t>
      </w:r>
      <w:r w:rsidRPr="00E259C1">
        <w:t>%</w:t>
      </w:r>
      <w:r w:rsidR="00FB7887" w:rsidRPr="00E259C1">
        <w:t xml:space="preserve">; </w:t>
      </w:r>
      <w:r w:rsidR="00FF399F" w:rsidRPr="00E259C1">
        <w:tab/>
      </w:r>
      <w:r w:rsidR="00DD1C0C" w:rsidRPr="00E259C1">
        <w:tab/>
      </w:r>
      <w:r w:rsidR="00FB7887" w:rsidRPr="00E259C1">
        <w:rPr>
          <w:b/>
        </w:rPr>
        <w:t xml:space="preserve">para fines de diseño </w:t>
      </w:r>
      <w:r w:rsidR="007B56AC">
        <w:rPr>
          <w:b/>
        </w:rPr>
        <w:t>90</w:t>
      </w:r>
      <w:r w:rsidR="00FB7887" w:rsidRPr="00E259C1">
        <w:rPr>
          <w:b/>
        </w:rPr>
        <w:t>%.</w:t>
      </w:r>
    </w:p>
    <w:p w:rsidR="00511717" w:rsidRPr="00E259C1" w:rsidRDefault="00511717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>Variación de temperatura media anual</w:t>
      </w:r>
      <w:r w:rsidR="000539A0">
        <w:t xml:space="preserve"> </w:t>
      </w:r>
      <w:r w:rsidR="00EE4829" w:rsidRPr="00E259C1">
        <w:t>-</w:t>
      </w:r>
      <w:r w:rsidR="00BD6B34">
        <w:t>5</w:t>
      </w:r>
      <w:r w:rsidR="00D115A7" w:rsidRPr="00E259C1">
        <w:t>º</w:t>
      </w:r>
      <w:r w:rsidRPr="00E259C1">
        <w:t xml:space="preserve">C a </w:t>
      </w:r>
      <w:r w:rsidR="007B56AC">
        <w:t>3</w:t>
      </w:r>
      <w:r w:rsidR="00BD6B34">
        <w:t>8</w:t>
      </w:r>
      <w:r w:rsidR="00D115A7" w:rsidRPr="00E259C1">
        <w:t>º</w:t>
      </w:r>
      <w:r w:rsidRPr="00E259C1">
        <w:t>C</w:t>
      </w:r>
      <w:r w:rsidR="00913964" w:rsidRPr="00E259C1">
        <w:t>.</w:t>
      </w:r>
    </w:p>
    <w:p w:rsidR="00511717" w:rsidRPr="00E259C1" w:rsidRDefault="000539A0" w:rsidP="003964C2">
      <w:pPr>
        <w:pStyle w:val="Prrafodelista"/>
        <w:numPr>
          <w:ilvl w:val="0"/>
          <w:numId w:val="9"/>
        </w:numPr>
        <w:ind w:left="709" w:hanging="425"/>
      </w:pPr>
      <w:r>
        <w:t>Temperatura máxima extrem</w:t>
      </w:r>
      <w:r w:rsidR="00511717" w:rsidRPr="00E259C1">
        <w:t>a</w:t>
      </w:r>
      <w:r>
        <w:t xml:space="preserve"> </w:t>
      </w:r>
      <w:r w:rsidR="007B56AC">
        <w:t>40</w:t>
      </w:r>
      <w:r w:rsidR="00D115A7" w:rsidRPr="00E259C1">
        <w:t>º</w:t>
      </w:r>
      <w:r w:rsidR="00511717" w:rsidRPr="00E259C1">
        <w:t>C</w:t>
      </w:r>
      <w:r w:rsidR="00FB7887" w:rsidRPr="00E259C1">
        <w:t xml:space="preserve">; </w:t>
      </w:r>
      <w:r w:rsidR="00FF399F" w:rsidRPr="00E259C1">
        <w:tab/>
      </w:r>
      <w:r w:rsidR="00FF399F" w:rsidRPr="00E259C1">
        <w:tab/>
      </w:r>
      <w:r w:rsidR="00FB7887" w:rsidRPr="00E259C1">
        <w:rPr>
          <w:b/>
        </w:rPr>
        <w:t xml:space="preserve">para fines de diseño </w:t>
      </w:r>
      <w:r w:rsidR="007B56AC">
        <w:rPr>
          <w:b/>
        </w:rPr>
        <w:t>40</w:t>
      </w:r>
      <w:r w:rsidR="00FB7887" w:rsidRPr="00E259C1">
        <w:rPr>
          <w:b/>
        </w:rPr>
        <w:t>ºC.</w:t>
      </w:r>
    </w:p>
    <w:p w:rsidR="00511717" w:rsidRPr="00E259C1" w:rsidRDefault="00511717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>Temperatura mínima extrema</w:t>
      </w:r>
      <w:r w:rsidR="000539A0">
        <w:t xml:space="preserve"> </w:t>
      </w:r>
      <w:r w:rsidR="00EE4829" w:rsidRPr="00E259C1">
        <w:t>-</w:t>
      </w:r>
      <w:r w:rsidR="00605AA1" w:rsidRPr="00E259C1">
        <w:t>1</w:t>
      </w:r>
      <w:r w:rsidR="007B56AC">
        <w:t>0</w:t>
      </w:r>
      <w:r w:rsidR="00D115A7" w:rsidRPr="00E259C1">
        <w:t>º</w:t>
      </w:r>
      <w:r w:rsidRPr="00E259C1">
        <w:t>C</w:t>
      </w:r>
      <w:r w:rsidR="00FB7887" w:rsidRPr="00E259C1">
        <w:t xml:space="preserve">; </w:t>
      </w:r>
      <w:r w:rsidR="00FF399F" w:rsidRPr="00E259C1">
        <w:tab/>
      </w:r>
      <w:r w:rsidR="00FF399F" w:rsidRPr="00E259C1">
        <w:tab/>
      </w:r>
      <w:r w:rsidR="00FB7887" w:rsidRPr="00E259C1">
        <w:rPr>
          <w:b/>
        </w:rPr>
        <w:t>para fines de diseño -</w:t>
      </w:r>
      <w:r w:rsidR="00545B24" w:rsidRPr="00E259C1">
        <w:rPr>
          <w:b/>
        </w:rPr>
        <w:t>2</w:t>
      </w:r>
      <w:r w:rsidR="00FB1293" w:rsidRPr="00E259C1">
        <w:rPr>
          <w:b/>
        </w:rPr>
        <w:t>5</w:t>
      </w:r>
      <w:r w:rsidR="00FB7887" w:rsidRPr="00E259C1">
        <w:rPr>
          <w:b/>
        </w:rPr>
        <w:t>ºC</w:t>
      </w:r>
      <w:r w:rsidR="00FB7887" w:rsidRPr="00E259C1">
        <w:t>.</w:t>
      </w:r>
    </w:p>
    <w:p w:rsidR="00FF399F" w:rsidRPr="00E259C1" w:rsidRDefault="00FF399F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>Período de lluvias Octubre a Marzo</w:t>
      </w:r>
      <w:r w:rsidR="00913964" w:rsidRPr="00E259C1">
        <w:t>.</w:t>
      </w:r>
    </w:p>
    <w:p w:rsidR="00511717" w:rsidRPr="00E259C1" w:rsidRDefault="00511717" w:rsidP="003964C2">
      <w:pPr>
        <w:pStyle w:val="Prrafodelista"/>
        <w:numPr>
          <w:ilvl w:val="0"/>
          <w:numId w:val="9"/>
        </w:numPr>
        <w:ind w:left="709" w:hanging="425"/>
      </w:pPr>
      <w:r w:rsidRPr="00E259C1">
        <w:t xml:space="preserve">Precipitación media </w:t>
      </w:r>
      <w:r w:rsidR="00D115A7" w:rsidRPr="00E259C1">
        <w:t>anual</w:t>
      </w:r>
      <w:r w:rsidR="000539A0">
        <w:t xml:space="preserve"> </w:t>
      </w:r>
      <w:r w:rsidR="007B56AC">
        <w:t>4</w:t>
      </w:r>
      <w:r w:rsidR="00B82602" w:rsidRPr="00E259C1">
        <w:t>00</w:t>
      </w:r>
      <w:r w:rsidR="000539A0">
        <w:t xml:space="preserve"> </w:t>
      </w:r>
      <w:r w:rsidR="00FB7887" w:rsidRPr="00E259C1">
        <w:t>milímetros</w:t>
      </w:r>
      <w:r w:rsidR="00C030B4" w:rsidRPr="00E259C1">
        <w:t>;</w:t>
      </w:r>
      <w:r w:rsidR="00FF399F" w:rsidRPr="00E259C1">
        <w:rPr>
          <w:b/>
        </w:rPr>
        <w:tab/>
      </w:r>
      <w:r w:rsidR="00DD1C0C" w:rsidRPr="00E259C1">
        <w:rPr>
          <w:b/>
        </w:rPr>
        <w:tab/>
      </w:r>
      <w:r w:rsidR="00FF399F" w:rsidRPr="00E259C1">
        <w:rPr>
          <w:b/>
        </w:rPr>
        <w:t>para fines de diseño Tropicalizado</w:t>
      </w:r>
      <w:r w:rsidR="00FF399F" w:rsidRPr="00E259C1">
        <w:t>.</w:t>
      </w:r>
    </w:p>
    <w:p w:rsidR="00C030B4" w:rsidRPr="00E259C1" w:rsidRDefault="00C030B4" w:rsidP="003964C2">
      <w:pPr>
        <w:pStyle w:val="Prrafodelista"/>
        <w:numPr>
          <w:ilvl w:val="0"/>
          <w:numId w:val="9"/>
        </w:numPr>
        <w:ind w:left="709" w:hanging="425"/>
        <w:rPr>
          <w:b/>
        </w:rPr>
      </w:pPr>
      <w:bookmarkStart w:id="10" w:name="_Toc523749647"/>
      <w:bookmarkStart w:id="11" w:name="_Toc121656859"/>
      <w:bookmarkStart w:id="12" w:name="_Toc255807997"/>
      <w:r w:rsidRPr="00E259C1">
        <w:t xml:space="preserve">Velocidad media del viento </w:t>
      </w:r>
      <w:r w:rsidR="007B56AC">
        <w:t>35</w:t>
      </w:r>
      <w:r w:rsidRPr="00E259C1">
        <w:t xml:space="preserve"> km/h; </w:t>
      </w:r>
      <w:r w:rsidRPr="00E259C1">
        <w:tab/>
      </w:r>
      <w:r w:rsidRPr="00E259C1">
        <w:tab/>
      </w:r>
      <w:r w:rsidRPr="00E259C1">
        <w:rPr>
          <w:b/>
        </w:rPr>
        <w:t>para fines de diseño 120 km/h.</w:t>
      </w:r>
    </w:p>
    <w:p w:rsidR="00C030B4" w:rsidRPr="00E259C1" w:rsidRDefault="00C030B4" w:rsidP="003964C2">
      <w:pPr>
        <w:pStyle w:val="Prrafodelista"/>
        <w:numPr>
          <w:ilvl w:val="0"/>
          <w:numId w:val="9"/>
        </w:numPr>
        <w:ind w:left="709" w:hanging="425"/>
        <w:rPr>
          <w:b/>
        </w:rPr>
      </w:pPr>
      <w:r w:rsidRPr="00E259C1">
        <w:t xml:space="preserve">Clase de resistencia al congelamiento 6 mm; </w:t>
      </w:r>
      <w:r w:rsidRPr="00E259C1">
        <w:tab/>
      </w:r>
      <w:r w:rsidRPr="00E259C1">
        <w:rPr>
          <w:b/>
        </w:rPr>
        <w:t>para fines de diseño 10 mm</w:t>
      </w:r>
      <w:r w:rsidR="00FB1293" w:rsidRPr="00E259C1">
        <w:rPr>
          <w:b/>
        </w:rPr>
        <w:t>.</w:t>
      </w:r>
    </w:p>
    <w:p w:rsidR="00DD1C0C" w:rsidRDefault="00DD1C0C" w:rsidP="00DD1C0C">
      <w:pPr>
        <w:pStyle w:val="Ttulo1"/>
      </w:pPr>
      <w:bookmarkStart w:id="13" w:name="_Toc530065336"/>
      <w:r>
        <w:t>TIPO</w:t>
      </w:r>
      <w:bookmarkEnd w:id="10"/>
      <w:bookmarkEnd w:id="11"/>
      <w:bookmarkEnd w:id="12"/>
      <w:r w:rsidR="00F83DBA">
        <w:t xml:space="preserve"> Y CONSTRUCCIÓN</w:t>
      </w:r>
      <w:bookmarkEnd w:id="13"/>
    </w:p>
    <w:p w:rsidR="00FC1071" w:rsidRDefault="00FC1071" w:rsidP="00FC1071">
      <w:pPr>
        <w:pStyle w:val="texto"/>
        <w:ind w:left="0"/>
      </w:pPr>
      <w:r>
        <w:t xml:space="preserve">Los bancos de capacitores deben ser para instalación exterior, con esquema de conexionado del tipo </w:t>
      </w:r>
      <w:r w:rsidR="00CD6024" w:rsidRPr="00580610">
        <w:t>indicad</w:t>
      </w:r>
      <w:r w:rsidR="00CD6024">
        <w:t>o</w:t>
      </w:r>
      <w:r w:rsidR="00CD6024" w:rsidRPr="00580610">
        <w:t xml:space="preserve"> en el numeral </w:t>
      </w:r>
      <w:r w:rsidR="00CD6024">
        <w:t>13</w:t>
      </w:r>
      <w:r w:rsidR="00CD6024" w:rsidRPr="00580610">
        <w:t>. Planilla de datos Técnicos Garantizados</w:t>
      </w:r>
      <w:r>
        <w:t>.</w:t>
      </w:r>
    </w:p>
    <w:p w:rsidR="00F83DBA" w:rsidRDefault="00F83DBA" w:rsidP="00F83DBA">
      <w:pPr>
        <w:overflowPunct w:val="0"/>
        <w:autoSpaceDE w:val="0"/>
        <w:autoSpaceDN w:val="0"/>
        <w:adjustRightInd w:val="0"/>
        <w:textAlignment w:val="baseline"/>
      </w:pPr>
      <w:r>
        <w:t>Cada unidad capacitiva del banco deberá estar constituido por capacitores “all film“, tipo paquete, resistentes a descargas internas, y estables a variaciones de temperatura entre -25</w:t>
      </w:r>
      <w:r>
        <w:sym w:font="Symbol" w:char="F0B0"/>
      </w:r>
      <w:r>
        <w:t>C a + 40</w:t>
      </w:r>
      <w:r>
        <w:sym w:font="Symbol" w:char="F0B0"/>
      </w:r>
      <w:r>
        <w:t xml:space="preserve"> C. Los paquetes deberán estar impregnados con dieléctrico biodegradable, de baja toxicidad y totalmente diferente al PCB</w:t>
      </w:r>
      <w:r w:rsidR="00F16030">
        <w:t>, adicionalmente las unidades capacitivas deberán ser intercambiables entre sí.</w:t>
      </w:r>
    </w:p>
    <w:p w:rsidR="00F83DBA" w:rsidRDefault="00F83DBA" w:rsidP="00F83DBA">
      <w:pPr>
        <w:overflowPunct w:val="0"/>
        <w:autoSpaceDE w:val="0"/>
        <w:autoSpaceDN w:val="0"/>
        <w:adjustRightInd w:val="0"/>
        <w:textAlignment w:val="baseline"/>
      </w:pPr>
      <w:r>
        <w:t xml:space="preserve">Cada elemento individual o paquete de cada unidad capacitiva deberá estar internamente protegido </w:t>
      </w:r>
      <w:r w:rsidR="0029258E">
        <w:t xml:space="preserve">y </w:t>
      </w:r>
      <w:r>
        <w:t>tener una tecnología de operación sin fusible.</w:t>
      </w:r>
      <w:r w:rsidR="0098596E">
        <w:t xml:space="preserve"> Así mismo, c</w:t>
      </w:r>
      <w:r>
        <w:t>ada unidad capacitiva deberá ser provista con 2 (dos) aisladores pasatapas.</w:t>
      </w:r>
      <w:r w:rsidR="0098596E">
        <w:t xml:space="preserve"> </w:t>
      </w:r>
    </w:p>
    <w:p w:rsidR="00F83DBA" w:rsidRDefault="00F83DBA" w:rsidP="00F83DBA">
      <w:pPr>
        <w:overflowPunct w:val="0"/>
        <w:autoSpaceDE w:val="0"/>
        <w:autoSpaceDN w:val="0"/>
        <w:adjustRightInd w:val="0"/>
        <w:textAlignment w:val="baseline"/>
      </w:pPr>
      <w:r>
        <w:t xml:space="preserve">Para </w:t>
      </w:r>
      <w:r w:rsidR="00F16030">
        <w:t xml:space="preserve">la </w:t>
      </w:r>
      <w:r>
        <w:t>descarga automática después de cada desconexión, las unidades capacitivas deberán estar provistas individualmente con dispositivo</w:t>
      </w:r>
      <w:r w:rsidR="00F16030">
        <w:t>s</w:t>
      </w:r>
      <w:r>
        <w:t xml:space="preserve"> de descarga.  </w:t>
      </w:r>
      <w:r w:rsidR="00F16030">
        <w:t>Los</w:t>
      </w:r>
      <w:r>
        <w:t xml:space="preserve"> dispositivo</w:t>
      </w:r>
      <w:r w:rsidR="00F16030">
        <w:t>s</w:t>
      </w:r>
      <w:r>
        <w:t xml:space="preserve"> deberá</w:t>
      </w:r>
      <w:r w:rsidR="00F16030">
        <w:t>n</w:t>
      </w:r>
      <w:r>
        <w:t xml:space="preserve"> ser capa</w:t>
      </w:r>
      <w:r w:rsidR="00F16030">
        <w:t>ces</w:t>
      </w:r>
      <w:r>
        <w:t xml:space="preserve"> de descargar la</w:t>
      </w:r>
      <w:r w:rsidR="00F16030">
        <w:t>s</w:t>
      </w:r>
      <w:r>
        <w:t xml:space="preserve"> unidad</w:t>
      </w:r>
      <w:r w:rsidR="00F16030">
        <w:t>es</w:t>
      </w:r>
      <w:r>
        <w:t xml:space="preserve"> desde su voltaje nominal hasta un voltaje residual de 50 voltios o menos, en un tiempo </w:t>
      </w:r>
      <w:r w:rsidR="00F16030">
        <w:t>menor o igual a</w:t>
      </w:r>
      <w:r>
        <w:t xml:space="preserve"> 5 minutos</w:t>
      </w:r>
    </w:p>
    <w:p w:rsidR="00F83DBA" w:rsidRDefault="00F83DBA" w:rsidP="00F83DBA">
      <w:pPr>
        <w:overflowPunct w:val="0"/>
        <w:autoSpaceDE w:val="0"/>
        <w:autoSpaceDN w:val="0"/>
        <w:adjustRightInd w:val="0"/>
        <w:textAlignment w:val="baseline"/>
      </w:pPr>
      <w:r>
        <w:lastRenderedPageBreak/>
        <w:t>El contenedor de cada unidad capacitiva deberá ser de un material resistente a la corrosión (acero inoxidable o aluminio)</w:t>
      </w:r>
      <w:r w:rsidR="00F440B4">
        <w:t>. El material para las barras de conexión de las unidades capacitivas, secciones y de todo el banco deberá ser  cobre</w:t>
      </w:r>
    </w:p>
    <w:p w:rsidR="00F317BB" w:rsidRDefault="00F317BB" w:rsidP="00F317BB">
      <w:pPr>
        <w:overflowPunct w:val="0"/>
        <w:autoSpaceDE w:val="0"/>
        <w:autoSpaceDN w:val="0"/>
        <w:adjustRightInd w:val="0"/>
        <w:textAlignment w:val="baseline"/>
      </w:pPr>
      <w:r>
        <w:t>Además de todo lo comprendido para el equipo y accesorios para su instalación y operación, se deberá incluir:</w:t>
      </w:r>
    </w:p>
    <w:p w:rsidR="009B6C69" w:rsidRDefault="00CF4B9B" w:rsidP="003964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567"/>
        <w:textAlignment w:val="baseline"/>
      </w:pPr>
      <w:r>
        <w:t>Reactor</w:t>
      </w:r>
      <w:r w:rsidR="0029258E">
        <w:t>es</w:t>
      </w:r>
      <w:r>
        <w:t xml:space="preserve"> </w:t>
      </w:r>
      <w:r w:rsidR="009B6C69">
        <w:t>de amortiguamiento</w:t>
      </w:r>
      <w:r w:rsidR="000D6261">
        <w:t xml:space="preserve"> asociado</w:t>
      </w:r>
      <w:r w:rsidR="0029258E">
        <w:t>s</w:t>
      </w:r>
      <w:r w:rsidR="000D6261">
        <w:t xml:space="preserve"> al banco.</w:t>
      </w:r>
      <w:r w:rsidR="009B6C69">
        <w:t xml:space="preserve"> </w:t>
      </w:r>
    </w:p>
    <w:p w:rsidR="00761290" w:rsidRDefault="00761290" w:rsidP="003964C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567"/>
        <w:textAlignment w:val="baseline"/>
      </w:pPr>
      <w:r>
        <w:t>Transformadores de corriente para el neutro del banco</w:t>
      </w:r>
    </w:p>
    <w:p w:rsidR="00A42950" w:rsidRDefault="00A42950" w:rsidP="00A42950">
      <w:pPr>
        <w:pStyle w:val="Ttulo1"/>
      </w:pPr>
      <w:bookmarkStart w:id="14" w:name="_Toc530065337"/>
      <w:bookmarkStart w:id="15" w:name="_Toc523749650"/>
      <w:bookmarkStart w:id="16" w:name="_Toc121656862"/>
      <w:bookmarkStart w:id="17" w:name="_Toc255807999"/>
      <w:r>
        <w:t>REACTOR</w:t>
      </w:r>
      <w:r w:rsidR="0029258E">
        <w:t>ES</w:t>
      </w:r>
      <w:r>
        <w:t xml:space="preserve"> DE AMORTIGUAMIENTO</w:t>
      </w:r>
      <w:bookmarkEnd w:id="14"/>
    </w:p>
    <w:p w:rsidR="00FC1071" w:rsidRDefault="007818CC" w:rsidP="00FC1071">
      <w:pPr>
        <w:pStyle w:val="texto"/>
        <w:ind w:left="0"/>
      </w:pPr>
      <w:r>
        <w:t>Los reactores de amortiguamiento deberán poder ser empleados para limitar la corriente de energización del banco de capacitores especificado, aptos para instalación a la intemperie, de tipo seco, núcleo de aire, y tipo pedestal.</w:t>
      </w:r>
      <w:r w:rsidR="00FC1071">
        <w:t xml:space="preserve"> Deberán tener una construcción tal que evite la entrada de aves, o en su defecto tener las barreras adecuadas con resistencia a la radiación ultravioleta.</w:t>
      </w:r>
    </w:p>
    <w:p w:rsidR="007237D1" w:rsidRDefault="007818CC" w:rsidP="007237D1">
      <w:pPr>
        <w:overflowPunct w:val="0"/>
        <w:autoSpaceDE w:val="0"/>
        <w:autoSpaceDN w:val="0"/>
        <w:adjustRightInd w:val="0"/>
        <w:textAlignment w:val="baseline"/>
      </w:pPr>
      <w:r>
        <w:t>Los reactores deberán ser adecuados para operación con bancos de capacitores en paralelo. Se deberá incluir las estructuras de soporte de acero galvanizado</w:t>
      </w:r>
      <w:r w:rsidR="007237D1">
        <w:t xml:space="preserve"> (si aplica)</w:t>
      </w:r>
      <w:r>
        <w:t xml:space="preserve"> y terminales de línea</w:t>
      </w:r>
      <w:r w:rsidR="007237D1">
        <w:t xml:space="preserve">. </w:t>
      </w:r>
    </w:p>
    <w:p w:rsidR="007818CC" w:rsidRDefault="007818CC" w:rsidP="007237D1">
      <w:pPr>
        <w:overflowPunct w:val="0"/>
        <w:autoSpaceDE w:val="0"/>
        <w:autoSpaceDN w:val="0"/>
        <w:adjustRightInd w:val="0"/>
        <w:textAlignment w:val="baseline"/>
        <w:rPr>
          <w:lang w:val="es-BO"/>
        </w:rPr>
      </w:pPr>
      <w:r>
        <w:rPr>
          <w:lang w:val="es-BO"/>
        </w:rPr>
        <w:t>Los reactores de amortiguamiento se deberán diseñar, fabricar y probar de acuerdo con la última revisión de la Publicación 60076-6 de la Norma IEC</w:t>
      </w:r>
      <w:r w:rsidR="007237D1">
        <w:rPr>
          <w:lang w:val="es-BO"/>
        </w:rPr>
        <w:t>.</w:t>
      </w:r>
    </w:p>
    <w:p w:rsidR="00A42950" w:rsidRDefault="007818CC" w:rsidP="007818CC">
      <w:r>
        <w:t>Todos los materiales conductivos deberán ser de aluminio, encapsulados en fibra de vidrio y protegidos con silicon- alkid. En el diseño y fabricación no se deberá utilizar ninguna conexión empernada, remachada o prensada. Cada reactor de amortiguamiento deberá estar montado sobre su correspondiente aislador tipo poste, con la suficiente resistencia mecánica para soportar las fuerzas eléctricas y mecánicas desarrolladas durante las condiciones de operación y corto circuito, así mismo deberá tener todos los conectores y accesorios para el montaje de los reactores de amortiguamiento.</w:t>
      </w:r>
      <w:r w:rsidR="00A42950">
        <w:t xml:space="preserve"> </w:t>
      </w:r>
    </w:p>
    <w:p w:rsidR="00E752DF" w:rsidRDefault="00837F57" w:rsidP="00E752DF">
      <w:pPr>
        <w:pStyle w:val="Ttulo1"/>
      </w:pPr>
      <w:bookmarkStart w:id="18" w:name="_Toc530065338"/>
      <w:r>
        <w:t>TRANSFORMADORES DE CORRIENTE</w:t>
      </w:r>
      <w:bookmarkEnd w:id="18"/>
    </w:p>
    <w:p w:rsidR="003021DA" w:rsidRDefault="001A4FF7" w:rsidP="00654488">
      <w:pPr>
        <w:pStyle w:val="texto"/>
        <w:ind w:left="0"/>
      </w:pPr>
      <w:r>
        <w:rPr>
          <w:lang w:val="es-BO"/>
        </w:rPr>
        <w:t>Los transformadores de corriente se deberán diseñar, fabricar y probar de acuerdo con la última revisión de la Publicación 60044 de la Norma IEC.</w:t>
      </w:r>
      <w:r w:rsidR="00654488">
        <w:rPr>
          <w:lang w:val="es-BO"/>
        </w:rPr>
        <w:t xml:space="preserve"> </w:t>
      </w:r>
      <w:r w:rsidR="00654488">
        <w:t>P</w:t>
      </w:r>
      <w:r w:rsidR="00837F57">
        <w:t xml:space="preserve">referentemente serán aislados en porcelana color marrón, para montaje en exterior, y deberán ser adecuados para conectar a tierra el neutro del banco de capacitores. </w:t>
      </w:r>
    </w:p>
    <w:p w:rsidR="003021DA" w:rsidRDefault="003021DA" w:rsidP="003021DA">
      <w:r>
        <w:t>Las cajas de terminales secundarios deberán ser de acero galvanizado, resistente a la intemperie, con entradas laterales para un ducto galvanizado</w:t>
      </w:r>
      <w:r w:rsidR="00BF0508">
        <w:t xml:space="preserve"> </w:t>
      </w:r>
      <w:r>
        <w:t>y provistas con un terminal apernado de conexión, para su puesta a tierra con un conductor desnudo de cobre 2/0 AWG</w:t>
      </w:r>
    </w:p>
    <w:p w:rsidR="00DD1C0C" w:rsidRDefault="00DD1C0C" w:rsidP="00DD1C0C">
      <w:pPr>
        <w:pStyle w:val="Ttulo1"/>
      </w:pPr>
      <w:bookmarkStart w:id="19" w:name="_Toc530065339"/>
      <w:r>
        <w:t>ACCESORIOS</w:t>
      </w:r>
      <w:bookmarkEnd w:id="15"/>
      <w:bookmarkEnd w:id="16"/>
      <w:bookmarkEnd w:id="17"/>
      <w:bookmarkEnd w:id="19"/>
    </w:p>
    <w:p w:rsidR="00DD1C0C" w:rsidRDefault="00DD1C0C" w:rsidP="00DD1C0C">
      <w:pPr>
        <w:pStyle w:val="texto"/>
        <w:ind w:left="24"/>
      </w:pPr>
      <w:r>
        <w:t xml:space="preserve">Cada </w:t>
      </w:r>
      <w:r w:rsidR="0087734E">
        <w:t>banco de capacitores</w:t>
      </w:r>
      <w:r>
        <w:t xml:space="preserve"> debe ser suministrado con todos los accesorios necesarios, incluyendo, pero no limitándose a los siguientes:</w:t>
      </w:r>
    </w:p>
    <w:p w:rsidR="00DD1C0C" w:rsidRDefault="00DD1C0C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Placa de características de acuerdo con la Publicación IEC 6</w:t>
      </w:r>
      <w:r w:rsidR="0087734E">
        <w:t>0871-1</w:t>
      </w:r>
      <w:r>
        <w:t>, Capítulo</w:t>
      </w:r>
      <w:r w:rsidR="00FB7A4B">
        <w:t>s</w:t>
      </w:r>
      <w:r>
        <w:t xml:space="preserve"> </w:t>
      </w:r>
      <w:r w:rsidR="00FB7A4B">
        <w:t>25 y 26</w:t>
      </w:r>
      <w:r>
        <w:t>.</w:t>
      </w:r>
    </w:p>
    <w:p w:rsidR="009B6C69" w:rsidRDefault="00DD1C0C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Si es aplicable, herramientas especiales necesarias para el montaje, mantenimiento y reparación de l</w:t>
      </w:r>
      <w:r w:rsidR="00FB7A4B">
        <w:t>as unidades capacitivas</w:t>
      </w:r>
      <w:r>
        <w:t xml:space="preserve">  (para el total de los equipos).</w:t>
      </w:r>
    </w:p>
    <w:p w:rsidR="009B6C69" w:rsidRDefault="00DD1C0C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Estructura de soporte</w:t>
      </w:r>
      <w:r w:rsidR="009B6C69" w:rsidRPr="009B6C69">
        <w:t xml:space="preserve"> </w:t>
      </w:r>
      <w:r w:rsidR="009B6C69">
        <w:t>de acero galvanizado, incluyendo bastidores aislados para ser ensamblados en forma apilada</w:t>
      </w:r>
      <w:r>
        <w:t xml:space="preserve"> fabricada teniendo en cuenta los requerimientos de cargas estáticas y dinámicas en el equipo y con las dimensiones requeridas para mantener las distancias eléctricas, de seguridad y de instalación establecidas en </w:t>
      </w:r>
      <w:r w:rsidR="006941D7">
        <w:t>la tabla de datos garantizados</w:t>
      </w:r>
      <w:r>
        <w:t>.</w:t>
      </w:r>
      <w:r w:rsidR="00D25CF1">
        <w:t xml:space="preserve"> La estructura soporte debe tener al menos 2.25 metros de la base a la parte </w:t>
      </w:r>
      <w:r w:rsidR="00BF0508">
        <w:t>más</w:t>
      </w:r>
      <w:r w:rsidR="00D25CF1">
        <w:t xml:space="preserve"> baja con tensión del banco.</w:t>
      </w:r>
      <w:r>
        <w:t xml:space="preserve"> </w:t>
      </w:r>
    </w:p>
    <w:p w:rsidR="009B6C69" w:rsidRDefault="009B6C69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Conductores de barra para interconexiones.</w:t>
      </w:r>
    </w:p>
    <w:p w:rsidR="009B6C69" w:rsidRDefault="009B6C69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Conexiones e interconexiones para la puesta a tierra, incluyendo: terminales, conectores y todo el equipo necesario para su instalación,  puesta en servicio y operación.</w:t>
      </w:r>
    </w:p>
    <w:p w:rsidR="00DD1C0C" w:rsidRDefault="009B6C69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Juego completo de soportes y aisladores tipo poste, entre bastidores. Cada soporte deberá estar completo para el correspondiente armado y cableado.</w:t>
      </w:r>
    </w:p>
    <w:p w:rsidR="00DD1C0C" w:rsidRPr="009C34F3" w:rsidRDefault="00DD1C0C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 w:rsidRPr="00E259C1">
        <w:lastRenderedPageBreak/>
        <w:t xml:space="preserve">Conectores terminales tipo rectos de aluminio para cable </w:t>
      </w:r>
      <w:r w:rsidR="00A72D74" w:rsidRPr="00E259C1">
        <w:t>397.5 kCM</w:t>
      </w:r>
      <w:r w:rsidR="00A72D74">
        <w:t xml:space="preserve"> </w:t>
      </w:r>
      <w:r w:rsidR="00A72D74" w:rsidRPr="00E259C1">
        <w:t>ACSR</w:t>
      </w:r>
      <w:r w:rsidR="00456DEF">
        <w:t xml:space="preserve"> o</w:t>
      </w:r>
      <w:r w:rsidR="00A72D74" w:rsidRPr="00E259C1">
        <w:t xml:space="preserve"> </w:t>
      </w:r>
      <w:r w:rsidR="00A72D74" w:rsidRPr="00E259C1">
        <w:rPr>
          <w:lang w:val="es-BO"/>
        </w:rPr>
        <w:t>954 kCM</w:t>
      </w:r>
      <w:r w:rsidR="00A72D74">
        <w:rPr>
          <w:lang w:val="es-BO"/>
        </w:rPr>
        <w:t xml:space="preserve"> </w:t>
      </w:r>
      <w:r w:rsidR="00A72D74" w:rsidRPr="00E259C1">
        <w:rPr>
          <w:lang w:val="es-BO"/>
        </w:rPr>
        <w:t>ACSR</w:t>
      </w:r>
      <w:r w:rsidR="006451B9">
        <w:rPr>
          <w:lang w:val="es-BO"/>
        </w:rPr>
        <w:t xml:space="preserve"> </w:t>
      </w:r>
      <w:r w:rsidRPr="00E259C1">
        <w:rPr>
          <w:lang w:val="es-BO"/>
        </w:rPr>
        <w:t xml:space="preserve">de acuerdo </w:t>
      </w:r>
      <w:r w:rsidR="0033591F" w:rsidRPr="00E259C1">
        <w:rPr>
          <w:lang w:val="es-BO"/>
        </w:rPr>
        <w:t>a lo indicado en la tabla de datos técnicos garantizados</w:t>
      </w:r>
      <w:r w:rsidRPr="00E259C1">
        <w:rPr>
          <w:lang w:val="es-BO"/>
        </w:rPr>
        <w:t>.</w:t>
      </w:r>
    </w:p>
    <w:p w:rsidR="009C34F3" w:rsidRDefault="009C34F3" w:rsidP="009C34F3">
      <w:pPr>
        <w:pStyle w:val="a"/>
        <w:numPr>
          <w:ilvl w:val="0"/>
          <w:numId w:val="0"/>
        </w:numPr>
        <w:spacing w:before="120"/>
        <w:ind w:left="720" w:hanging="360"/>
        <w:rPr>
          <w:lang w:val="es-BO"/>
        </w:rPr>
      </w:pPr>
    </w:p>
    <w:p w:rsidR="009C34F3" w:rsidRDefault="009C34F3" w:rsidP="009C34F3">
      <w:pPr>
        <w:pStyle w:val="texto"/>
        <w:ind w:left="24"/>
      </w:pPr>
      <w:r>
        <w:t>Cada reactor de amortiguamiento debe ser suministrado con todos los accesorios necesarios, incluyendo, pero no limitándose a los siguientes:</w:t>
      </w:r>
    </w:p>
    <w:p w:rsidR="009C34F3" w:rsidRDefault="009C34F3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Placa de características de acuerdo con la Publicación IEC 60076-6, Capítulos 9.</w:t>
      </w:r>
    </w:p>
    <w:p w:rsidR="00135C69" w:rsidRPr="00135C69" w:rsidRDefault="00D25CF1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>
        <w:t>E</w:t>
      </w:r>
      <w:r w:rsidR="009C34F3">
        <w:t>structura de soporte</w:t>
      </w:r>
      <w:r w:rsidR="009C34F3" w:rsidRPr="009B6C69">
        <w:t xml:space="preserve"> </w:t>
      </w:r>
      <w:r w:rsidR="009C34F3">
        <w:t>de acero galvanizado</w:t>
      </w:r>
      <w:r>
        <w:t xml:space="preserve"> o un material no corrosivo que no sea afectado por los campos magnéticos de los reactores,</w:t>
      </w:r>
      <w:r w:rsidR="0022475A">
        <w:t xml:space="preserve"> </w:t>
      </w:r>
      <w:r w:rsidR="0022475A" w:rsidRPr="0022475A">
        <w:rPr>
          <w:lang w:val="es-BO"/>
        </w:rPr>
        <w:t xml:space="preserve">con aisladores tipo poste </w:t>
      </w:r>
      <w:r w:rsidR="0022475A">
        <w:rPr>
          <w:lang w:val="es-BO"/>
        </w:rPr>
        <w:t>sobre los cuales irá</w:t>
      </w:r>
      <w:r>
        <w:rPr>
          <w:lang w:val="es-BO"/>
        </w:rPr>
        <w:t>n</w:t>
      </w:r>
      <w:r w:rsidR="0022475A">
        <w:rPr>
          <w:lang w:val="es-BO"/>
        </w:rPr>
        <w:t xml:space="preserve"> montado</w:t>
      </w:r>
      <w:r>
        <w:rPr>
          <w:lang w:val="es-BO"/>
        </w:rPr>
        <w:t>s</w:t>
      </w:r>
      <w:r w:rsidR="0022475A">
        <w:rPr>
          <w:lang w:val="es-BO"/>
        </w:rPr>
        <w:t xml:space="preserve"> </w:t>
      </w:r>
      <w:r>
        <w:rPr>
          <w:lang w:val="es-BO"/>
        </w:rPr>
        <w:t>los</w:t>
      </w:r>
      <w:r w:rsidR="0022475A">
        <w:rPr>
          <w:lang w:val="es-BO"/>
        </w:rPr>
        <w:t xml:space="preserve"> reactor</w:t>
      </w:r>
      <w:r>
        <w:rPr>
          <w:lang w:val="es-BO"/>
        </w:rPr>
        <w:t>es</w:t>
      </w:r>
      <w:r w:rsidR="0022475A">
        <w:rPr>
          <w:lang w:val="es-BO"/>
        </w:rPr>
        <w:t xml:space="preserve"> de amortiguamiento</w:t>
      </w:r>
      <w:r w:rsidR="0022475A" w:rsidRPr="0022475A">
        <w:rPr>
          <w:lang w:val="es-BO"/>
        </w:rPr>
        <w:t>.</w:t>
      </w:r>
      <w:r w:rsidR="003021DA">
        <w:rPr>
          <w:lang w:val="es-BO"/>
        </w:rPr>
        <w:t xml:space="preserve"> Incluye</w:t>
      </w:r>
      <w:r w:rsidR="003021DA" w:rsidRPr="003021DA">
        <w:t xml:space="preserve"> </w:t>
      </w:r>
      <w:r w:rsidR="003021DA">
        <w:t>pernos, tuercas, arandelas, pernos de anclaje y ferretería necesaria</w:t>
      </w:r>
      <w:r w:rsidR="003021DA">
        <w:rPr>
          <w:lang w:val="es-BO"/>
        </w:rPr>
        <w:t>.</w:t>
      </w:r>
    </w:p>
    <w:p w:rsidR="0022475A" w:rsidRPr="00AD4A19" w:rsidRDefault="00135C69" w:rsidP="003964C2">
      <w:pPr>
        <w:pStyle w:val="a"/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283"/>
      </w:pPr>
      <w:r w:rsidRPr="00E259C1">
        <w:t>Conectores terminales tipo rectos de aluminio para cable 397.5 kCM</w:t>
      </w:r>
      <w:r>
        <w:t xml:space="preserve"> </w:t>
      </w:r>
      <w:r w:rsidRPr="00E259C1">
        <w:t>ACSR</w:t>
      </w:r>
      <w:r w:rsidR="00456DEF">
        <w:t xml:space="preserve"> o</w:t>
      </w:r>
      <w:r w:rsidRPr="00E259C1">
        <w:t xml:space="preserve"> </w:t>
      </w:r>
      <w:r w:rsidRPr="00E259C1">
        <w:rPr>
          <w:lang w:val="es-BO"/>
        </w:rPr>
        <w:t>954 kCM</w:t>
      </w:r>
      <w:r>
        <w:rPr>
          <w:lang w:val="es-BO"/>
        </w:rPr>
        <w:t xml:space="preserve"> </w:t>
      </w:r>
      <w:r w:rsidRPr="00E259C1">
        <w:rPr>
          <w:lang w:val="es-BO"/>
        </w:rPr>
        <w:t>ACSR</w:t>
      </w:r>
      <w:r>
        <w:t xml:space="preserve"> </w:t>
      </w:r>
      <w:r w:rsidRPr="00E259C1">
        <w:rPr>
          <w:lang w:val="es-BO"/>
        </w:rPr>
        <w:t>de acuerdo a lo indicado en la tabla de datos técnicos garantizados</w:t>
      </w:r>
    </w:p>
    <w:p w:rsidR="00AD4A19" w:rsidRDefault="00AD4A19" w:rsidP="00AD4A19">
      <w:pPr>
        <w:pStyle w:val="a"/>
        <w:numPr>
          <w:ilvl w:val="0"/>
          <w:numId w:val="0"/>
        </w:numPr>
        <w:spacing w:before="120"/>
      </w:pPr>
      <w:r>
        <w:t>Los transformadores de corriente, deberán ser suministrados con soportes de acero galvanizado, incluidos los pernos, tuercas, arandelas, pernos de anclaje y ferretería necesaria.</w:t>
      </w:r>
    </w:p>
    <w:p w:rsidR="00DD1C0C" w:rsidRDefault="00DD1C0C" w:rsidP="00DD1C0C">
      <w:pPr>
        <w:pStyle w:val="Ttulo1"/>
      </w:pPr>
      <w:bookmarkStart w:id="20" w:name="_Toc530065340"/>
      <w:r>
        <w:t>PRUEBAS</w:t>
      </w:r>
      <w:bookmarkEnd w:id="20"/>
    </w:p>
    <w:p w:rsidR="00DD1C0C" w:rsidRDefault="00DD1C0C" w:rsidP="00DD1C0C">
      <w:pPr>
        <w:pStyle w:val="texto"/>
        <w:ind w:left="0"/>
      </w:pPr>
      <w:bookmarkStart w:id="21" w:name="_Ref283356446"/>
      <w:bookmarkStart w:id="22" w:name="_Toc287470575"/>
      <w:bookmarkStart w:id="23" w:name="_Toc316330612"/>
      <w:r>
        <w:t xml:space="preserve">Cada </w:t>
      </w:r>
      <w:r w:rsidR="00F657E4">
        <w:t>banco de capacitores</w:t>
      </w:r>
      <w:r>
        <w:t xml:space="preserve"> </w:t>
      </w:r>
      <w:r w:rsidR="00F82829">
        <w:t xml:space="preserve">y reactor de amortiguamiento </w:t>
      </w:r>
      <w:r>
        <w:t>debe ser completamente ensamblado y ajustado en fábrica y ser sometido a las pruebas de rutina para garantizar condiciones confiables de operación de todos sus componentes.</w:t>
      </w:r>
    </w:p>
    <w:p w:rsidR="00DD1C0C" w:rsidRDefault="00DD1C0C" w:rsidP="00DD1C0C">
      <w:pPr>
        <w:pStyle w:val="texto"/>
        <w:ind w:left="0"/>
      </w:pPr>
      <w:r>
        <w:t xml:space="preserve">Si </w:t>
      </w:r>
      <w:r w:rsidR="00F657E4">
        <w:t>los bancos</w:t>
      </w:r>
      <w:r>
        <w:t xml:space="preserve"> deben ser desarmados para transporte, todos los elementos y partes deben ser debidamente marcados e identificados para facilitar su montaje en el sitio.</w:t>
      </w:r>
    </w:p>
    <w:p w:rsidR="00DD1C0C" w:rsidRDefault="00DD1C0C" w:rsidP="00DD1C0C">
      <w:pPr>
        <w:pStyle w:val="Ttulo2"/>
      </w:pPr>
      <w:bookmarkStart w:id="24" w:name="_Toc377335238"/>
      <w:bookmarkStart w:id="25" w:name="_Toc121391326"/>
      <w:bookmarkStart w:id="26" w:name="_Toc255808001"/>
      <w:bookmarkStart w:id="27" w:name="_Toc530065341"/>
      <w:r>
        <w:t>Pruebas tipo</w:t>
      </w:r>
      <w:bookmarkEnd w:id="24"/>
      <w:bookmarkEnd w:id="25"/>
      <w:bookmarkEnd w:id="26"/>
      <w:bookmarkEnd w:id="27"/>
    </w:p>
    <w:p w:rsidR="00DD1C0C" w:rsidRDefault="00DD1C0C" w:rsidP="00DD1C0C">
      <w:pPr>
        <w:pStyle w:val="texto"/>
        <w:ind w:left="0"/>
      </w:pPr>
      <w:r>
        <w:t xml:space="preserve">El </w:t>
      </w:r>
      <w:r w:rsidR="00240395">
        <w:t xml:space="preserve">Proveedor </w:t>
      </w:r>
      <w:r>
        <w:t>debe entregar una copia de los reportes de pruebas tipo que satisfagan las prescripciones de la Publicación IEC 6</w:t>
      </w:r>
      <w:r w:rsidR="00972519">
        <w:t>0871</w:t>
      </w:r>
      <w:r>
        <w:t xml:space="preserve">, hechas sobre </w:t>
      </w:r>
      <w:r w:rsidR="00972519">
        <w:t>capacitores</w:t>
      </w:r>
      <w:r>
        <w:t xml:space="preserve"> similares a los que se suministrarán.</w:t>
      </w:r>
      <w:r w:rsidR="00A87F76">
        <w:t xml:space="preserve"> Asimismo, para los reactores de amortiguamiento se debe entregar una copia de los reportes de pruebas tipo que cumplan las prescripciones de la Publicación IEC 60076, hechas sobre reactores similares a los que se suministrarán</w:t>
      </w:r>
    </w:p>
    <w:p w:rsidR="00DD1C0C" w:rsidRDefault="00DD1C0C" w:rsidP="00DD1C0C">
      <w:pPr>
        <w:pStyle w:val="Ttulo2"/>
      </w:pPr>
      <w:bookmarkStart w:id="28" w:name="_Toc377335239"/>
      <w:bookmarkStart w:id="29" w:name="_Toc121391327"/>
      <w:bookmarkStart w:id="30" w:name="_Toc255808002"/>
      <w:bookmarkStart w:id="31" w:name="_Toc530065342"/>
      <w:r>
        <w:t>Pruebas de rutina</w:t>
      </w:r>
      <w:bookmarkEnd w:id="28"/>
      <w:bookmarkEnd w:id="29"/>
      <w:bookmarkEnd w:id="30"/>
      <w:bookmarkEnd w:id="31"/>
    </w:p>
    <w:p w:rsidR="00DD1C0C" w:rsidRDefault="00DD1C0C" w:rsidP="00DD1C0C">
      <w:pPr>
        <w:pStyle w:val="texto"/>
        <w:ind w:left="0"/>
      </w:pPr>
      <w:r>
        <w:t xml:space="preserve">Cada </w:t>
      </w:r>
      <w:r w:rsidR="00A677FD">
        <w:t>banco de capacitores</w:t>
      </w:r>
      <w:r>
        <w:t xml:space="preserve"> debe ser completamente ensamblado en la fábrica y sometido a las pruebas de rutina especificadas en la Publicación IEC 6</w:t>
      </w:r>
      <w:r w:rsidR="00A677FD">
        <w:t>0871</w:t>
      </w:r>
      <w:r>
        <w:t>.</w:t>
      </w:r>
    </w:p>
    <w:p w:rsidR="002C2294" w:rsidRDefault="002C2294" w:rsidP="00DD1C0C">
      <w:pPr>
        <w:pStyle w:val="texto"/>
        <w:ind w:left="0"/>
      </w:pPr>
      <w:r>
        <w:t>Los reactores de amortiguamiento igualmente deberán ser completamente ensamblados en la fábrica y sometidos a las pruebas de rutina especificadas en la Publicación IEC 60076.</w:t>
      </w:r>
    </w:p>
    <w:p w:rsidR="00D95D8B" w:rsidRPr="00BB5E9C" w:rsidRDefault="00D95D8B" w:rsidP="00D95D8B">
      <w:pPr>
        <w:pStyle w:val="texto"/>
        <w:ind w:left="0"/>
      </w:pPr>
      <w:bookmarkStart w:id="32" w:name="_Toc377335241"/>
      <w:bookmarkStart w:id="33" w:name="_Toc121391329"/>
      <w:bookmarkStart w:id="34" w:name="_Toc255808003"/>
      <w:r w:rsidRPr="00BB5E9C">
        <w:t xml:space="preserve">Con una anticipación de 30 días calendarios, el Proveedor deberá enviar a </w:t>
      </w:r>
      <w:r w:rsidR="00E17E63">
        <w:t>ENDE</w:t>
      </w:r>
      <w:r w:rsidRPr="00BB5E9C">
        <w:t xml:space="preserve">, para su aprobación, el programa detallado de pruebas en fábrica y los protocolos de prueba con los criterios de aceptación. Este programa debe ser adecuado para comprobar que los equipos </w:t>
      </w:r>
      <w:r w:rsidR="00AA4A1D" w:rsidRPr="00BB5E9C">
        <w:t>cumplen</w:t>
      </w:r>
      <w:r w:rsidRPr="00BB5E9C">
        <w:t xml:space="preserve"> los requisitos técnicos establecidos.</w:t>
      </w:r>
    </w:p>
    <w:p w:rsidR="00D95D8B" w:rsidRPr="00BB5E9C" w:rsidRDefault="00E17E63" w:rsidP="00D95D8B">
      <w:pPr>
        <w:pStyle w:val="texto"/>
        <w:ind w:left="0"/>
      </w:pPr>
      <w:r>
        <w:t>ENDE</w:t>
      </w:r>
      <w:r w:rsidR="00D95D8B" w:rsidRPr="00BB5E9C">
        <w:t xml:space="preserve"> anunciará por escrito si estará presente o no durante las pruebas. Los costos de pasajes aéreos de ida y vuelta, transporte desde y hacia el aeropuerto de destino, estadía y viáticos, del personal de </w:t>
      </w:r>
      <w:r>
        <w:t>ENDE</w:t>
      </w:r>
      <w:r w:rsidR="00D95D8B" w:rsidRPr="00BB5E9C">
        <w:t xml:space="preserve"> que asista a las pruebas, correrán por cuenta de </w:t>
      </w:r>
      <w:r>
        <w:t>ENDE</w:t>
      </w:r>
      <w:r w:rsidR="00AA4A1D" w:rsidRPr="00BB5E9C">
        <w:t>.</w:t>
      </w:r>
    </w:p>
    <w:p w:rsidR="00D95D8B" w:rsidRPr="00125413" w:rsidRDefault="00D95D8B" w:rsidP="00D95D8B">
      <w:pPr>
        <w:pStyle w:val="texto"/>
        <w:ind w:left="0"/>
      </w:pPr>
      <w:r w:rsidRPr="00BB5E9C">
        <w:t xml:space="preserve">Si </w:t>
      </w:r>
      <w:r w:rsidR="00E17E63">
        <w:t>ENDE</w:t>
      </w:r>
      <w:r w:rsidRPr="00BB5E9C">
        <w:t xml:space="preserve"> confirma que su representante no estará presente durante las pruebas, el Proveedor podrá proceder con la ejecución de las mismas y los certificados o protocolos de pruebas aprobados por </w:t>
      </w:r>
      <w:r w:rsidR="00E17E63">
        <w:t>ENDE</w:t>
      </w:r>
      <w:r w:rsidRPr="00BB5E9C">
        <w:t xml:space="preserve">  se aceptarán para el cumplimiento de este requisito.</w:t>
      </w:r>
    </w:p>
    <w:p w:rsidR="00D3039A" w:rsidRDefault="00D3039A" w:rsidP="00D3039A">
      <w:pPr>
        <w:pStyle w:val="Ttulo1"/>
      </w:pPr>
      <w:bookmarkStart w:id="35" w:name="_Toc530065343"/>
      <w:r>
        <w:t>R</w:t>
      </w:r>
      <w:bookmarkEnd w:id="32"/>
      <w:bookmarkEnd w:id="33"/>
      <w:r>
        <w:t>EPUESTOS</w:t>
      </w:r>
      <w:bookmarkEnd w:id="34"/>
      <w:bookmarkEnd w:id="35"/>
    </w:p>
    <w:p w:rsidR="00D3039A" w:rsidRPr="00E259C1" w:rsidRDefault="00D3039A" w:rsidP="00D3039A">
      <w:pPr>
        <w:pStyle w:val="texto"/>
        <w:ind w:left="0"/>
      </w:pPr>
      <w:r w:rsidRPr="00E259C1">
        <w:t xml:space="preserve">El Fabricante propondrá y cotizará la cantidad de piezas de repuesto que serán necesarias para cubrir un período de </w:t>
      </w:r>
      <w:r w:rsidR="004C4AAF">
        <w:t>operación</w:t>
      </w:r>
      <w:r w:rsidRPr="00E259C1">
        <w:t xml:space="preserve"> de diez (10) años. </w:t>
      </w:r>
    </w:p>
    <w:p w:rsidR="00D3039A" w:rsidRPr="00E259C1" w:rsidRDefault="00D3039A" w:rsidP="0067585E">
      <w:pPr>
        <w:pStyle w:val="texto"/>
        <w:ind w:left="0"/>
        <w:rPr>
          <w:lang w:val="es-BO"/>
        </w:rPr>
      </w:pPr>
      <w:r w:rsidRPr="00E259C1">
        <w:lastRenderedPageBreak/>
        <w:t xml:space="preserve">Los Proponentes deberán cotizar obligatoriamente el ítem correspondiente a un lote de repuestos en </w:t>
      </w:r>
      <w:r w:rsidR="00CA7F4A" w:rsidRPr="00E259C1">
        <w:t>l</w:t>
      </w:r>
      <w:r w:rsidRPr="00E259C1">
        <w:t xml:space="preserve">as </w:t>
      </w:r>
      <w:r w:rsidR="00CA7F4A" w:rsidRPr="00E259C1">
        <w:t>L</w:t>
      </w:r>
      <w:r w:rsidRPr="00E259C1">
        <w:t xml:space="preserve">istas de </w:t>
      </w:r>
      <w:r w:rsidR="00CA7F4A" w:rsidRPr="00E259C1">
        <w:t>P</w:t>
      </w:r>
      <w:r w:rsidRPr="00E259C1">
        <w:t>recios</w:t>
      </w:r>
      <w:r w:rsidR="00CA7F4A" w:rsidRPr="00E259C1">
        <w:t xml:space="preserve"> y Alcance Resumido</w:t>
      </w:r>
      <w:r w:rsidRPr="00E259C1">
        <w:t>, con un precio global</w:t>
      </w:r>
      <w:r w:rsidR="0067585E" w:rsidRPr="00E259C1">
        <w:t>.</w:t>
      </w:r>
    </w:p>
    <w:p w:rsidR="0067585E" w:rsidRPr="00E259C1" w:rsidRDefault="00CA7F4A" w:rsidP="00D3039A">
      <w:pPr>
        <w:pStyle w:val="texto"/>
        <w:ind w:left="0"/>
        <w:rPr>
          <w:lang w:val="es-BO"/>
        </w:rPr>
      </w:pPr>
      <w:r w:rsidRPr="00E259C1">
        <w:rPr>
          <w:lang w:val="es-BO"/>
        </w:rPr>
        <w:t>Adicionalmente</w:t>
      </w:r>
      <w:r w:rsidR="00D3039A" w:rsidRPr="00E259C1">
        <w:rPr>
          <w:lang w:val="es-BO"/>
        </w:rPr>
        <w:t xml:space="preserve">, el Proponente deberá presentar </w:t>
      </w:r>
      <w:r w:rsidR="008B2E9B">
        <w:rPr>
          <w:lang w:val="es-BO"/>
        </w:rPr>
        <w:t xml:space="preserve">por separado, </w:t>
      </w:r>
      <w:r w:rsidR="00D3039A" w:rsidRPr="00E259C1">
        <w:rPr>
          <w:lang w:val="es-BO"/>
        </w:rPr>
        <w:t xml:space="preserve">una </w:t>
      </w:r>
      <w:r w:rsidR="0067585E" w:rsidRPr="00E259C1">
        <w:rPr>
          <w:lang w:val="es-BO"/>
        </w:rPr>
        <w:t>L</w:t>
      </w:r>
      <w:r w:rsidR="00D3039A" w:rsidRPr="00E259C1">
        <w:rPr>
          <w:lang w:val="es-BO"/>
        </w:rPr>
        <w:t xml:space="preserve">ista </w:t>
      </w:r>
      <w:r w:rsidR="0067585E" w:rsidRPr="00E259C1">
        <w:rPr>
          <w:lang w:val="es-BO"/>
        </w:rPr>
        <w:t>D</w:t>
      </w:r>
      <w:r w:rsidR="00D3039A" w:rsidRPr="00E259C1">
        <w:rPr>
          <w:lang w:val="es-BO"/>
        </w:rPr>
        <w:t xml:space="preserve">etallada </w:t>
      </w:r>
      <w:r w:rsidR="0067585E" w:rsidRPr="00E259C1">
        <w:rPr>
          <w:lang w:val="es-BO"/>
        </w:rPr>
        <w:t xml:space="preserve">de Repuestos </w:t>
      </w:r>
      <w:r w:rsidR="00D3039A" w:rsidRPr="00E259C1">
        <w:rPr>
          <w:lang w:val="es-BO"/>
        </w:rPr>
        <w:t xml:space="preserve">con precios unitarios y desglosados </w:t>
      </w:r>
      <w:r w:rsidR="0067585E" w:rsidRPr="00E259C1">
        <w:rPr>
          <w:lang w:val="es-BO"/>
        </w:rPr>
        <w:t>de acuerdo a los ítems descritos en la Lista Detallada de Repuestos.</w:t>
      </w:r>
    </w:p>
    <w:p w:rsidR="00CC2DD6" w:rsidRPr="00E259C1" w:rsidRDefault="00CC2DD6" w:rsidP="00C43339">
      <w:pPr>
        <w:pStyle w:val="Ttulo1"/>
      </w:pPr>
      <w:bookmarkStart w:id="36" w:name="_Toc287792693"/>
      <w:bookmarkStart w:id="37" w:name="_Toc530065344"/>
      <w:r w:rsidRPr="00E259C1">
        <w:t>INFORMACIÓN A SER PRESENTADA POR EL PROPONENTE EN SU PROPUESTA</w:t>
      </w:r>
      <w:bookmarkEnd w:id="36"/>
      <w:bookmarkEnd w:id="37"/>
    </w:p>
    <w:p w:rsidR="00CC2DD6" w:rsidRPr="00240395" w:rsidRDefault="00CC2DD6" w:rsidP="00CC2DD6">
      <w:r w:rsidRPr="00240395">
        <w:t xml:space="preserve">La información que debe presentar el Proponente en su propuesta, deberá incluir la siguiente documentación. </w:t>
      </w:r>
    </w:p>
    <w:p w:rsidR="00CC2DD6" w:rsidRPr="00240395" w:rsidRDefault="00CC2DD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 xml:space="preserve">Tabla de datos técnicos garantizados. </w:t>
      </w:r>
    </w:p>
    <w:p w:rsidR="00CC2DD6" w:rsidRPr="00240395" w:rsidRDefault="00CC2DD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>Lista de excepciones a la presente especificación, enumerando todas las que existan y su justificación, haciendo referencia a los epígrafes de esta especificación. Las excepciones no enumeradas en este apartado, no tendrán validez contractual</w:t>
      </w:r>
      <w:r w:rsidR="00AD4A19">
        <w:t>.</w:t>
      </w:r>
    </w:p>
    <w:p w:rsidR="00486E37" w:rsidRDefault="00CC2DD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>Planos de disposición general de</w:t>
      </w:r>
      <w:r w:rsidR="003F11F1">
        <w:t xml:space="preserve"> </w:t>
      </w:r>
      <w:r w:rsidRPr="00240395">
        <w:t xml:space="preserve">los </w:t>
      </w:r>
      <w:r w:rsidR="003F11F1">
        <w:t>bancos de capacitores</w:t>
      </w:r>
      <w:r w:rsidRPr="00240395">
        <w:t>, indicando sus dimensiones principales, distancia entre polos, dimensiones de los aisladores, sus pesos y ubicación de los accesorios.</w:t>
      </w:r>
    </w:p>
    <w:p w:rsidR="00CC2DD6" w:rsidRPr="00240395" w:rsidRDefault="00CC2DD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>Catálogo o folleto descriptivo de los equipos y sus elementos principales</w:t>
      </w:r>
      <w:r w:rsidR="00AD4A19">
        <w:t>.</w:t>
      </w:r>
    </w:p>
    <w:p w:rsidR="00240395" w:rsidRDefault="00240395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>Copia de los protocolos de pruebas tipo realizadas a equipos de las mismas características que los ofrecidos.</w:t>
      </w:r>
    </w:p>
    <w:p w:rsidR="00700918" w:rsidRPr="00240395" w:rsidRDefault="00700918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3"/>
      </w:pPr>
      <w:r w:rsidRPr="00240395">
        <w:t>Planos de disposición general de</w:t>
      </w:r>
      <w:r>
        <w:t xml:space="preserve"> </w:t>
      </w:r>
      <w:r w:rsidRPr="00240395">
        <w:t xml:space="preserve">los </w:t>
      </w:r>
      <w:r>
        <w:t>reactores de amortiguamiento</w:t>
      </w:r>
      <w:r w:rsidRPr="00240395">
        <w:t>, indicando sus dimensiones principales, dimensiones de los aisladores, sus pesos y ubicación de los accesorios.</w:t>
      </w:r>
    </w:p>
    <w:p w:rsidR="008A2D6B" w:rsidRPr="00C43339" w:rsidRDefault="008A2D6B" w:rsidP="00C43339">
      <w:pPr>
        <w:pStyle w:val="Ttulo1"/>
      </w:pPr>
      <w:bookmarkStart w:id="38" w:name="_Toc287792694"/>
      <w:bookmarkStart w:id="39" w:name="_Toc530065345"/>
      <w:bookmarkStart w:id="40" w:name="_Toc287470582"/>
      <w:bookmarkStart w:id="41" w:name="_Toc316330619"/>
      <w:bookmarkEnd w:id="21"/>
      <w:bookmarkEnd w:id="22"/>
      <w:bookmarkEnd w:id="23"/>
      <w:r w:rsidRPr="00C43339">
        <w:t>INFORMACIÓN A SER PRESENTADA D</w:t>
      </w:r>
      <w:r w:rsidR="00395D7A">
        <w:t>ESPUÉS DE LA FIRMA DE CONTRATO U</w:t>
      </w:r>
      <w:r w:rsidRPr="00C43339">
        <w:t xml:space="preserve"> ORDEN DE PROCEDER</w:t>
      </w:r>
      <w:bookmarkEnd w:id="38"/>
      <w:bookmarkEnd w:id="39"/>
    </w:p>
    <w:p w:rsidR="008A2D6B" w:rsidRPr="00FB2272" w:rsidRDefault="008A2D6B" w:rsidP="008A2D6B">
      <w:r w:rsidRPr="00FB2272">
        <w:t xml:space="preserve">El </w:t>
      </w:r>
      <w:r w:rsidR="00DA2DC2" w:rsidRPr="00FB2272">
        <w:t>Proveedor</w:t>
      </w:r>
      <w:r w:rsidRPr="00FB2272">
        <w:t xml:space="preserve"> deberá proporcionar, en un plazo máximo de 60 (sesenta) días </w:t>
      </w:r>
      <w:r w:rsidR="00395D7A">
        <w:t>calendario</w:t>
      </w:r>
      <w:r w:rsidR="00B5215F">
        <w:t>s</w:t>
      </w:r>
      <w:r w:rsidR="0093326D">
        <w:t xml:space="preserve"> </w:t>
      </w:r>
      <w:r w:rsidRPr="00FB2272">
        <w:t xml:space="preserve">siguientes a partir de la firma de contrato </w:t>
      </w:r>
      <w:r w:rsidR="00395D7A">
        <w:t>u</w:t>
      </w:r>
      <w:r w:rsidRPr="00FB2272">
        <w:t xml:space="preserve"> orden de proceder, </w:t>
      </w:r>
      <w:r w:rsidR="00DA2DC2" w:rsidRPr="00FB2272">
        <w:t>vía correo electrónico</w:t>
      </w:r>
      <w:r w:rsidRPr="00FB2272">
        <w:t xml:space="preserve">, para aprobación por parte de </w:t>
      </w:r>
      <w:r w:rsidR="00E17E63">
        <w:t>ENDE</w:t>
      </w:r>
      <w:r w:rsidRPr="00FB2272">
        <w:t xml:space="preserve">, la siguiente información: </w:t>
      </w:r>
    </w:p>
    <w:p w:rsidR="004B66D1" w:rsidRPr="00930543" w:rsidRDefault="004B66D1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930543">
        <w:t xml:space="preserve">Placa de </w:t>
      </w:r>
      <w:r>
        <w:t xml:space="preserve">datos técnicos </w:t>
      </w:r>
      <w:r w:rsidRPr="00930543">
        <w:t>de</w:t>
      </w:r>
      <w:r w:rsidR="004C4AAF">
        <w:t>l banco de capacitores y reactores de amortiguamiento</w:t>
      </w:r>
      <w:r w:rsidRPr="00930543">
        <w:t xml:space="preserve">. </w:t>
      </w:r>
    </w:p>
    <w:p w:rsidR="005C7E02" w:rsidRPr="00FB2272" w:rsidRDefault="005C7E02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FB2272">
        <w:t xml:space="preserve">Planos finales de disposición general, dimensiones, pesos, </w:t>
      </w:r>
      <w:r>
        <w:t xml:space="preserve">disposición de pernos de anclaje, </w:t>
      </w:r>
      <w:r w:rsidRPr="00FB2272">
        <w:t>etc.</w:t>
      </w:r>
    </w:p>
    <w:p w:rsidR="00675C9D" w:rsidRPr="00E705A4" w:rsidRDefault="00675C9D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E705A4">
        <w:t xml:space="preserve">Fabricante, tipo y características de los equipos que componen el </w:t>
      </w:r>
      <w:r w:rsidR="008A499B">
        <w:t>banco de capacitores</w:t>
      </w:r>
      <w:r w:rsidR="00AD4A19">
        <w:t>.</w:t>
      </w:r>
    </w:p>
    <w:p w:rsidR="001E5B76" w:rsidRPr="00FB2272" w:rsidRDefault="001E5B7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FB2272">
        <w:t>Esquemas de conexionado</w:t>
      </w:r>
      <w:r w:rsidR="00AD4A19">
        <w:t>.</w:t>
      </w:r>
    </w:p>
    <w:p w:rsidR="001E5B76" w:rsidRPr="00FB2272" w:rsidRDefault="001E5B7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FB2272">
        <w:t>Manual</w:t>
      </w:r>
      <w:r w:rsidR="004C4AAF">
        <w:t>es</w:t>
      </w:r>
      <w:r w:rsidRPr="00FB2272">
        <w:t xml:space="preserve"> de instrucciones de montaje, operación y mantenimiento</w:t>
      </w:r>
      <w:r w:rsidR="00AD4A19">
        <w:t>.</w:t>
      </w:r>
    </w:p>
    <w:p w:rsidR="001E5B76" w:rsidRPr="00FB2272" w:rsidRDefault="001E5B7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FB2272">
        <w:t>Planos de estructuras soporte y conectores primarios</w:t>
      </w:r>
      <w:r w:rsidR="00AD4A19">
        <w:t>.</w:t>
      </w:r>
    </w:p>
    <w:p w:rsidR="001E5B76" w:rsidRPr="00E259C1" w:rsidRDefault="001E5B76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 w:rsidRPr="00E259C1">
        <w:t>Instructivos o catálogos de componentes secundarios y auxiliares</w:t>
      </w:r>
      <w:r w:rsidR="00AD4A19">
        <w:t>.</w:t>
      </w:r>
    </w:p>
    <w:p w:rsidR="008A2D6B" w:rsidRPr="00E259C1" w:rsidRDefault="00E17E63" w:rsidP="008A2D6B">
      <w:r>
        <w:t>ENDE</w:t>
      </w:r>
      <w:r w:rsidR="00DA2DC2" w:rsidRPr="00E259C1">
        <w:t xml:space="preserve"> revisará </w:t>
      </w:r>
      <w:r w:rsidR="008A2D6B" w:rsidRPr="00E259C1">
        <w:t>la documentación</w:t>
      </w:r>
      <w:r w:rsidR="006457AB">
        <w:t>, que posteriormente</w:t>
      </w:r>
      <w:r w:rsidR="006457AB" w:rsidRPr="008721D2">
        <w:t xml:space="preserve"> </w:t>
      </w:r>
      <w:r w:rsidR="008A2D6B" w:rsidRPr="00E259C1">
        <w:t xml:space="preserve">será devuelta </w:t>
      </w:r>
      <w:r w:rsidR="00DA2DC2" w:rsidRPr="00E259C1">
        <w:t xml:space="preserve">vía correo electrónico </w:t>
      </w:r>
      <w:r w:rsidR="008A2D6B" w:rsidRPr="00E259C1">
        <w:t xml:space="preserve">al </w:t>
      </w:r>
      <w:r w:rsidR="00240395" w:rsidRPr="00E259C1">
        <w:t xml:space="preserve">Proveedor </w:t>
      </w:r>
      <w:r w:rsidR="008A2D6B" w:rsidRPr="00E259C1">
        <w:t xml:space="preserve">en un plazo de </w:t>
      </w:r>
      <w:r w:rsidR="00C74BBF" w:rsidRPr="00E259C1">
        <w:t>20</w:t>
      </w:r>
      <w:r w:rsidR="008A2D6B" w:rsidRPr="00E259C1">
        <w:t xml:space="preserve"> días calendario</w:t>
      </w:r>
      <w:r w:rsidR="00086A33">
        <w:t>s</w:t>
      </w:r>
      <w:r w:rsidR="008B2E9B">
        <w:t>,</w:t>
      </w:r>
      <w:r w:rsidR="008A2D6B" w:rsidRPr="00E259C1">
        <w:t xml:space="preserve"> con una de las siguientes leyendas: </w:t>
      </w:r>
    </w:p>
    <w:p w:rsidR="008A2D6B" w:rsidRPr="00E259C1" w:rsidRDefault="008A2D6B" w:rsidP="003964C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</w:pPr>
      <w:r w:rsidRPr="00E259C1">
        <w:t xml:space="preserve">Aceptado </w:t>
      </w:r>
    </w:p>
    <w:p w:rsidR="008A2D6B" w:rsidRPr="00E259C1" w:rsidRDefault="008A2D6B" w:rsidP="003964C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</w:pPr>
      <w:r w:rsidRPr="00E259C1">
        <w:t xml:space="preserve">Aceptado </w:t>
      </w:r>
      <w:r w:rsidR="00086A33">
        <w:t>C</w:t>
      </w:r>
      <w:r w:rsidRPr="00E259C1">
        <w:t xml:space="preserve">on </w:t>
      </w:r>
      <w:r w:rsidR="00086A33">
        <w:t>O</w:t>
      </w:r>
      <w:r w:rsidRPr="00E259C1">
        <w:t xml:space="preserve">bservaciones </w:t>
      </w:r>
    </w:p>
    <w:p w:rsidR="008A2D6B" w:rsidRPr="00E259C1" w:rsidRDefault="004971FF" w:rsidP="003964C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</w:pPr>
      <w:r w:rsidRPr="00E259C1">
        <w:t>Rechazado</w:t>
      </w:r>
    </w:p>
    <w:p w:rsidR="008A2D6B" w:rsidRPr="00FB2272" w:rsidRDefault="008A2D6B" w:rsidP="008A2D6B">
      <w:r w:rsidRPr="00E259C1">
        <w:t xml:space="preserve">En el caso de que la documentación contenga las opciones Aceptado </w:t>
      </w:r>
      <w:r w:rsidR="00B5215F">
        <w:t>C</w:t>
      </w:r>
      <w:r w:rsidRPr="00E259C1">
        <w:t xml:space="preserve">on </w:t>
      </w:r>
      <w:r w:rsidR="00B5215F">
        <w:t>O</w:t>
      </w:r>
      <w:r w:rsidRPr="00E259C1">
        <w:t>bservaciones y</w:t>
      </w:r>
      <w:r w:rsidR="00B5215F">
        <w:t>/o</w:t>
      </w:r>
      <w:r w:rsidRPr="00E259C1">
        <w:t xml:space="preserve"> Rechazado, el </w:t>
      </w:r>
      <w:r w:rsidR="00240395" w:rsidRPr="00E259C1">
        <w:t xml:space="preserve">Proveedor </w:t>
      </w:r>
      <w:r w:rsidRPr="00E259C1">
        <w:t xml:space="preserve">debe realizar las modificaciones indicadas y remitir a </w:t>
      </w:r>
      <w:r w:rsidR="00E17E63">
        <w:t>ENDE</w:t>
      </w:r>
      <w:r w:rsidRPr="00E259C1">
        <w:t xml:space="preserve"> la documentación correspondiente para una nueva revisión</w:t>
      </w:r>
      <w:r w:rsidR="0097509F" w:rsidRPr="00E259C1">
        <w:t xml:space="preserve"> otorgándol</w:t>
      </w:r>
      <w:r w:rsidR="005C53B3" w:rsidRPr="00E259C1">
        <w:t>e</w:t>
      </w:r>
      <w:r w:rsidR="0097509F" w:rsidRPr="00E259C1">
        <w:t xml:space="preserve"> 10 días </w:t>
      </w:r>
      <w:r w:rsidR="009F2407" w:rsidRPr="00E259C1">
        <w:t>calendarios adicionales</w:t>
      </w:r>
      <w:r w:rsidRPr="00E259C1">
        <w:t>.</w:t>
      </w:r>
    </w:p>
    <w:p w:rsidR="008A2D6B" w:rsidRPr="00894D15" w:rsidRDefault="008A2D6B" w:rsidP="008A2D6B">
      <w:r w:rsidRPr="00FB2272">
        <w:t xml:space="preserve">Será por cuenta y riesgo del </w:t>
      </w:r>
      <w:r w:rsidR="00240395" w:rsidRPr="00FB2272">
        <w:t>Proveedor</w:t>
      </w:r>
      <w:r w:rsidRPr="00FB2272">
        <w:t xml:space="preserve"> cualquier trabajo que ejecute antes de recibir los planos aprobados por </w:t>
      </w:r>
      <w:r w:rsidR="00E17E63">
        <w:t>ENDE</w:t>
      </w:r>
      <w:r w:rsidRPr="00FB2272">
        <w:t xml:space="preserve">. Esta aprobación no releva al </w:t>
      </w:r>
      <w:r w:rsidR="00240395" w:rsidRPr="00FB2272">
        <w:t>Proveedor</w:t>
      </w:r>
      <w:r w:rsidRPr="00FB2272">
        <w:t xml:space="preserve"> del cumplimiento de las especificaciones y de lo estipulado en el </w:t>
      </w:r>
      <w:r w:rsidRPr="00894D15">
        <w:t xml:space="preserve">Contrato. </w:t>
      </w:r>
    </w:p>
    <w:p w:rsidR="008A2D6B" w:rsidRPr="00894D15" w:rsidRDefault="008A2D6B" w:rsidP="008A2D6B">
      <w:r w:rsidRPr="00894D15">
        <w:t xml:space="preserve">La aceptación de cualquier documento no exime al </w:t>
      </w:r>
      <w:r w:rsidR="00240395" w:rsidRPr="00894D15">
        <w:t>Proveedor</w:t>
      </w:r>
      <w:r w:rsidRPr="00894D15">
        <w:t xml:space="preserve"> de plena responsabilidad en cuanto al funcionamiento correcto de los equipos, y a la obligación de suministrar el producto de acuerdo con las exigencias técnicas. </w:t>
      </w:r>
    </w:p>
    <w:p w:rsidR="008A2D6B" w:rsidRPr="00894D15" w:rsidRDefault="00BD3D89" w:rsidP="008A2D6B">
      <w:r w:rsidRPr="00E259C1">
        <w:t>Quince</w:t>
      </w:r>
      <w:r w:rsidR="00D07FD4" w:rsidRPr="00E259C1">
        <w:t xml:space="preserve"> (</w:t>
      </w:r>
      <w:r w:rsidRPr="00E259C1">
        <w:t>15</w:t>
      </w:r>
      <w:r w:rsidR="00D07FD4" w:rsidRPr="00E259C1">
        <w:t xml:space="preserve">) </w:t>
      </w:r>
      <w:r w:rsidR="008A2D6B" w:rsidRPr="00E259C1">
        <w:t xml:space="preserve">días antes del embarque de los equipos, el </w:t>
      </w:r>
      <w:r w:rsidR="00240395" w:rsidRPr="00E259C1">
        <w:t>Proveedor</w:t>
      </w:r>
      <w:r w:rsidR="008A2D6B" w:rsidRPr="00E259C1">
        <w:t xml:space="preserve"> deberá </w:t>
      </w:r>
      <w:r w:rsidR="00894D15" w:rsidRPr="00E259C1">
        <w:t>entregar</w:t>
      </w:r>
      <w:r w:rsidR="00125EC1" w:rsidRPr="00E259C1">
        <w:t xml:space="preserve"> por cada subestación</w:t>
      </w:r>
      <w:r w:rsidR="00894D15" w:rsidRPr="00E259C1">
        <w:t xml:space="preserve"> la siguiente documentación</w:t>
      </w:r>
      <w:r w:rsidR="008A2D6B" w:rsidRPr="00E259C1">
        <w:t>:</w:t>
      </w:r>
    </w:p>
    <w:p w:rsidR="008A2D6B" w:rsidRPr="00894D15" w:rsidRDefault="000277A4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="008A2D6B" w:rsidRPr="00894D15">
        <w:t>(</w:t>
      </w:r>
      <w:r>
        <w:t>3</w:t>
      </w:r>
      <w:r w:rsidR="008A2D6B" w:rsidRPr="00894D15">
        <w:t xml:space="preserve">) ejemplares </w:t>
      </w:r>
      <w:r w:rsidR="008B2E9B">
        <w:t xml:space="preserve">impresos </w:t>
      </w:r>
      <w:r w:rsidR="008A2D6B" w:rsidRPr="00894D15">
        <w:t xml:space="preserve">de toda la documentación aprobada por </w:t>
      </w:r>
      <w:r w:rsidR="00E17E63">
        <w:t>ENDE</w:t>
      </w:r>
      <w:r w:rsidR="008A2D6B" w:rsidRPr="00894D15">
        <w:t xml:space="preserve">, incluyendo las respectivas modificaciones solicitadas. </w:t>
      </w:r>
    </w:p>
    <w:p w:rsidR="008A2D6B" w:rsidRPr="00894D15" w:rsidRDefault="000277A4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="008A2D6B" w:rsidRPr="00894D15">
        <w:t>(</w:t>
      </w:r>
      <w:r>
        <w:t>3</w:t>
      </w:r>
      <w:r w:rsidR="008A2D6B" w:rsidRPr="00894D15">
        <w:t xml:space="preserve">) ejemplares </w:t>
      </w:r>
      <w:r w:rsidR="008B2E9B">
        <w:t xml:space="preserve">impresos </w:t>
      </w:r>
      <w:r w:rsidR="008A2D6B" w:rsidRPr="00894D15">
        <w:t xml:space="preserve">del informe referido a las pruebas de aceptación realizadas en fábrica. </w:t>
      </w:r>
    </w:p>
    <w:p w:rsidR="008A2D6B" w:rsidRDefault="000277A4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>
        <w:t>Tres</w:t>
      </w:r>
      <w:r w:rsidR="00605412" w:rsidRPr="00894D15">
        <w:t xml:space="preserve"> </w:t>
      </w:r>
      <w:r w:rsidR="00DA2DC2" w:rsidRPr="00894D15">
        <w:t>(</w:t>
      </w:r>
      <w:r>
        <w:t>3</w:t>
      </w:r>
      <w:r w:rsidR="008A2D6B" w:rsidRPr="00894D15">
        <w:t xml:space="preserve">) ejemplares </w:t>
      </w:r>
      <w:r w:rsidR="008B2E9B">
        <w:t xml:space="preserve">impresos </w:t>
      </w:r>
      <w:r w:rsidR="008A2D6B" w:rsidRPr="00894D15">
        <w:t xml:space="preserve">de los manuales de montaje, operación y mantenimiento. Al salir de fábrica, cada equipo deberá llevar un juego adicional de la documentación anterior, perfectamente protegido y guardado dentro </w:t>
      </w:r>
      <w:r w:rsidR="008A2D6B" w:rsidRPr="00894D15">
        <w:lastRenderedPageBreak/>
        <w:t xml:space="preserve">del gabinete de control. </w:t>
      </w:r>
    </w:p>
    <w:p w:rsidR="00FB2272" w:rsidRPr="00894D15" w:rsidRDefault="000277A4" w:rsidP="003964C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ind w:left="567" w:right="49" w:hanging="284"/>
      </w:pPr>
      <w:r>
        <w:t>Tres</w:t>
      </w:r>
      <w:r w:rsidR="0030735A" w:rsidRPr="00894D15">
        <w:t xml:space="preserve"> </w:t>
      </w:r>
      <w:r w:rsidR="00FB2272" w:rsidRPr="00894D15">
        <w:t>(</w:t>
      </w:r>
      <w:r>
        <w:t>3</w:t>
      </w:r>
      <w:r w:rsidR="00FB2272" w:rsidRPr="00894D15">
        <w:t>) CD</w:t>
      </w:r>
      <w:r w:rsidR="0030735A">
        <w:t>´s o DVD´s, cada uno,</w:t>
      </w:r>
      <w:r w:rsidR="00FB2272" w:rsidRPr="00894D15">
        <w:t xml:space="preserve"> con toda la información digital en formato PDF y los planos As-built en formato AUTOCAD.</w:t>
      </w:r>
    </w:p>
    <w:p w:rsidR="008A2D6B" w:rsidRPr="00BC13B6" w:rsidRDefault="008A2D6B" w:rsidP="008A2D6B">
      <w:r w:rsidRPr="00894D15">
        <w:t>Los manuales, leyendas y explicaciones de los planos, dibujos y diagramas, deberán redactarse en idioma español.</w:t>
      </w:r>
    </w:p>
    <w:p w:rsidR="00940A08" w:rsidRDefault="005221B1" w:rsidP="00377E90">
      <w:pPr>
        <w:pStyle w:val="Ttulo1"/>
      </w:pPr>
      <w:bookmarkStart w:id="42" w:name="_Toc530065346"/>
      <w:r w:rsidRPr="00BB7CEE">
        <w:t>EMBALAJE</w:t>
      </w:r>
      <w:bookmarkEnd w:id="40"/>
      <w:bookmarkEnd w:id="41"/>
      <w:r w:rsidR="0093326D">
        <w:t xml:space="preserve"> </w:t>
      </w:r>
      <w:r w:rsidR="008A2D6B">
        <w:t>Y TRANSPORTE</w:t>
      </w:r>
      <w:bookmarkEnd w:id="42"/>
    </w:p>
    <w:p w:rsidR="00940A08" w:rsidRDefault="00940A08" w:rsidP="006005F9">
      <w:r>
        <w:t>El embalaje y la preparación para el transporte será tal que se garantice un transporte seguro de los equipos considerando todas las condiciones climatológicas y de transporte al cual estarán sujetas</w:t>
      </w:r>
      <w:r w:rsidR="008A2D6B">
        <w:t xml:space="preserve"> desde el país de origen hasta el sitio de entrega</w:t>
      </w:r>
      <w:r>
        <w:t>.</w:t>
      </w:r>
    </w:p>
    <w:p w:rsidR="008A2D6B" w:rsidRDefault="008A2D6B" w:rsidP="006005F9">
      <w:r>
        <w:t>Se deben tomar</w:t>
      </w:r>
      <w:r w:rsidR="00940A08">
        <w:t xml:space="preserve"> todas las medidas necesarias de protección para su transporte</w:t>
      </w:r>
      <w:r>
        <w:t xml:space="preserve"> en territorio boliviano</w:t>
      </w:r>
      <w:r w:rsidR="00940A08">
        <w:t>, considerando las condiciones de las vías carreteras</w:t>
      </w:r>
      <w:r>
        <w:t xml:space="preserve"> y vías secundarias de tierra hasta llegar al sitio de entrega convenido.</w:t>
      </w:r>
    </w:p>
    <w:p w:rsidR="006763AF" w:rsidRPr="00F0388E" w:rsidRDefault="00D038AB" w:rsidP="00377E90">
      <w:pPr>
        <w:pStyle w:val="Ttulo1"/>
      </w:pPr>
      <w:bookmarkStart w:id="43" w:name="_Ref283324529"/>
      <w:bookmarkStart w:id="44" w:name="_Toc287470594"/>
      <w:bookmarkStart w:id="45" w:name="_Toc316330631"/>
      <w:bookmarkStart w:id="46" w:name="_Toc530065347"/>
      <w:r w:rsidRPr="00F0388E">
        <w:t xml:space="preserve">LISTA DE </w:t>
      </w:r>
      <w:r w:rsidR="00886F15" w:rsidRPr="00F0388E">
        <w:t xml:space="preserve">ITEMS </w:t>
      </w:r>
      <w:r w:rsidR="00E259C1" w:rsidRPr="00F0388E">
        <w:t xml:space="preserve">ESTANDARIZADOS </w:t>
      </w:r>
      <w:r w:rsidR="00C90355" w:rsidRPr="00F0388E">
        <w:t xml:space="preserve">PARA </w:t>
      </w:r>
      <w:r w:rsidR="004C4AAF" w:rsidRPr="00F0388E">
        <w:t>BANCOS DE CAPACITORES</w:t>
      </w:r>
      <w:bookmarkEnd w:id="43"/>
      <w:bookmarkEnd w:id="44"/>
      <w:bookmarkEnd w:id="45"/>
      <w:bookmarkEnd w:id="46"/>
    </w:p>
    <w:p w:rsidR="00886F15" w:rsidRPr="00F0388E" w:rsidRDefault="00886F15" w:rsidP="00093F68">
      <w:r w:rsidRPr="00F0388E">
        <w:t>A continuación se pre</w:t>
      </w:r>
      <w:r w:rsidR="004C4AAF" w:rsidRPr="00F0388E">
        <w:t>senta, la lista de ítems de los bancos de capacitores</w:t>
      </w:r>
      <w:r w:rsidRPr="00F0388E">
        <w:t xml:space="preserve"> </w:t>
      </w:r>
      <w:r w:rsidR="00EF37E8" w:rsidRPr="00F0388E">
        <w:t xml:space="preserve">estandarizados </w:t>
      </w:r>
      <w:r w:rsidRPr="00F0388E">
        <w:t xml:space="preserve">que utiliza </w:t>
      </w:r>
      <w:r w:rsidR="00E17E63">
        <w:t>ENDE</w:t>
      </w:r>
      <w:r w:rsidRPr="00F0388E">
        <w:t xml:space="preserve"> en el sistema de transmisión boliviano. Esta lista </w:t>
      </w:r>
      <w:r w:rsidR="00EF37E8" w:rsidRPr="00F0388E">
        <w:t xml:space="preserve">describe </w:t>
      </w:r>
      <w:r w:rsidRPr="00F0388E">
        <w:t>de manera resumida las características principales</w:t>
      </w:r>
      <w:r w:rsidR="00EF37E8" w:rsidRPr="00F0388E">
        <w:t xml:space="preserve"> de</w:t>
      </w:r>
      <w:r w:rsidR="006057CC">
        <w:t>l banco de capacitores shunt</w:t>
      </w:r>
      <w:r w:rsidR="00EF37E8" w:rsidRPr="00F0388E">
        <w:t xml:space="preserve"> y </w:t>
      </w:r>
      <w:r w:rsidR="006057CC">
        <w:t>sus</w:t>
      </w:r>
      <w:r w:rsidR="00EF37E8" w:rsidRPr="00F0388E">
        <w:t xml:space="preserve"> repuestos</w:t>
      </w:r>
      <w:r w:rsidRPr="00F0388E">
        <w:t>.</w:t>
      </w:r>
      <w:r w:rsidR="00D973D9" w:rsidRPr="00F0388E">
        <w:t xml:space="preserve"> La numeración del ítem correspondiente, es única y servirá para identificar al </w:t>
      </w:r>
      <w:r w:rsidR="00520A8D" w:rsidRPr="00F0388E">
        <w:t>equipo</w:t>
      </w:r>
      <w:r w:rsidR="00D61E22" w:rsidRPr="00F0388E">
        <w:t>.</w:t>
      </w:r>
    </w:p>
    <w:p w:rsidR="00E93E21" w:rsidRPr="00F0388E" w:rsidRDefault="00EF37E8" w:rsidP="00093F68">
      <w:r w:rsidRPr="00F0388E">
        <w:t xml:space="preserve">Las cantidades requeridas </w:t>
      </w:r>
      <w:r w:rsidR="00D61E22" w:rsidRPr="00F0388E">
        <w:t xml:space="preserve">de </w:t>
      </w:r>
      <w:r w:rsidR="00520A8D" w:rsidRPr="00F0388E">
        <w:t>equipos</w:t>
      </w:r>
      <w:r w:rsidR="00D61E22" w:rsidRPr="00F0388E">
        <w:t xml:space="preserve"> y repuestos, para cada proyecto, </w:t>
      </w:r>
      <w:r w:rsidRPr="00F0388E">
        <w:t xml:space="preserve">se </w:t>
      </w:r>
      <w:r w:rsidR="00D61E22" w:rsidRPr="00F0388E">
        <w:t>presentan en el ANEXO 1 – L</w:t>
      </w:r>
      <w:r w:rsidR="00B354C7" w:rsidRPr="00F0388E">
        <w:t>ISTA DE PRECIOS Y ALCANCE RESUMIDO</w:t>
      </w:r>
      <w:r w:rsidR="00E45BC4" w:rsidRPr="00F0388E">
        <w:t xml:space="preserve">, </w:t>
      </w:r>
      <w:r w:rsidR="00A07F91" w:rsidRPr="00F0388E">
        <w:t>d</w:t>
      </w:r>
      <w:r w:rsidR="00146CD0" w:rsidRPr="00F0388E">
        <w:t>e la invitación correspondiente. D</w:t>
      </w:r>
      <w:r w:rsidR="00E45BC4" w:rsidRPr="00F0388E">
        <w:t>ebe presentarse conjuntamente la Planilla de Datos Técnicos Garantizados de cada ítem</w:t>
      </w:r>
      <w:r w:rsidRPr="00F0388E">
        <w:t xml:space="preserve"> ofertado</w:t>
      </w:r>
      <w:r w:rsidR="00E45BC4" w:rsidRPr="00F0388E">
        <w:t>, y</w:t>
      </w:r>
      <w:r w:rsidR="00146CD0" w:rsidRPr="00F0388E">
        <w:t xml:space="preserve"> a</w:t>
      </w:r>
      <w:r w:rsidR="00E45BC4" w:rsidRPr="00F0388E">
        <w:t xml:space="preserve"> la Lista Detallada de Repuestos de cada ítem</w:t>
      </w:r>
      <w:r w:rsidRPr="00F0388E">
        <w:t xml:space="preserve"> ofertado</w:t>
      </w:r>
      <w:r w:rsidR="00E45BC4" w:rsidRPr="00F0388E">
        <w:t>.</w:t>
      </w:r>
    </w:p>
    <w:p w:rsidR="00D224AD" w:rsidRDefault="00D224AD" w:rsidP="00E45BC4">
      <w:pPr>
        <w:jc w:val="center"/>
        <w:rPr>
          <w:i/>
          <w:sz w:val="24"/>
          <w:highlight w:val="yellow"/>
        </w:rPr>
      </w:pPr>
    </w:p>
    <w:p w:rsidR="001C1E28" w:rsidRPr="0031062A" w:rsidRDefault="00E45BC4" w:rsidP="00E45BC4">
      <w:pPr>
        <w:jc w:val="center"/>
        <w:rPr>
          <w:i/>
          <w:sz w:val="24"/>
        </w:rPr>
      </w:pPr>
      <w:r w:rsidRPr="0031062A">
        <w:rPr>
          <w:i/>
          <w:sz w:val="24"/>
        </w:rPr>
        <w:t xml:space="preserve">LISTA DE </w:t>
      </w:r>
      <w:r w:rsidR="0097358D" w:rsidRPr="0031062A">
        <w:rPr>
          <w:i/>
          <w:sz w:val="24"/>
        </w:rPr>
        <w:t xml:space="preserve">ITEMS ESTANDARIZADOS </w:t>
      </w:r>
      <w:r w:rsidR="004C4AAF" w:rsidRPr="0031062A">
        <w:rPr>
          <w:i/>
          <w:sz w:val="24"/>
        </w:rPr>
        <w:t>–</w:t>
      </w:r>
      <w:r w:rsidRPr="0031062A">
        <w:rPr>
          <w:i/>
          <w:sz w:val="24"/>
        </w:rPr>
        <w:t xml:space="preserve"> </w:t>
      </w:r>
      <w:r w:rsidR="00FE7FDB">
        <w:rPr>
          <w:i/>
          <w:sz w:val="24"/>
        </w:rPr>
        <w:t xml:space="preserve">1. </w:t>
      </w:r>
      <w:r w:rsidR="004C4AAF" w:rsidRPr="0031062A">
        <w:rPr>
          <w:i/>
          <w:sz w:val="24"/>
        </w:rPr>
        <w:t>BANCOS DE CAPACITORES</w:t>
      </w:r>
      <w:r w:rsidR="00FE7FDB">
        <w:rPr>
          <w:i/>
          <w:sz w:val="24"/>
        </w:rPr>
        <w:t xml:space="preserve"> SHUNT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8964CD" w:rsidRPr="00957EF4" w:rsidTr="00B30996">
        <w:trPr>
          <w:trHeight w:val="237"/>
        </w:trPr>
        <w:tc>
          <w:tcPr>
            <w:tcW w:w="851" w:type="dxa"/>
            <w:vMerge w:val="restart"/>
            <w:shd w:val="clear" w:color="auto" w:fill="D9D9D9"/>
            <w:noWrap/>
            <w:vAlign w:val="center"/>
            <w:hideMark/>
          </w:tcPr>
          <w:p w:rsidR="008964CD" w:rsidRPr="0031062A" w:rsidRDefault="008964CD" w:rsidP="008964CD">
            <w:pPr>
              <w:spacing w:after="0"/>
              <w:jc w:val="center"/>
              <w:rPr>
                <w:sz w:val="16"/>
                <w:szCs w:val="16"/>
                <w:lang w:val="es-BO" w:eastAsia="en-US"/>
              </w:rPr>
            </w:pPr>
            <w:r w:rsidRPr="0031062A">
              <w:rPr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788" w:type="dxa"/>
            <w:vMerge w:val="restart"/>
            <w:shd w:val="clear" w:color="auto" w:fill="D9D9D9"/>
            <w:noWrap/>
            <w:vAlign w:val="center"/>
            <w:hideMark/>
          </w:tcPr>
          <w:p w:rsidR="008964CD" w:rsidRPr="0031062A" w:rsidRDefault="008964CD" w:rsidP="008964CD">
            <w:pPr>
              <w:spacing w:after="0"/>
              <w:rPr>
                <w:sz w:val="16"/>
                <w:szCs w:val="16"/>
                <w:lang w:val="es-BO" w:eastAsia="en-US"/>
              </w:rPr>
            </w:pPr>
            <w:r w:rsidRPr="0031062A">
              <w:rPr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8964CD" w:rsidRPr="00957EF4" w:rsidTr="00667C75">
        <w:trPr>
          <w:trHeight w:val="220"/>
        </w:trPr>
        <w:tc>
          <w:tcPr>
            <w:tcW w:w="851" w:type="dxa"/>
            <w:vMerge/>
            <w:vAlign w:val="center"/>
            <w:hideMark/>
          </w:tcPr>
          <w:p w:rsidR="008964CD" w:rsidRPr="0031062A" w:rsidRDefault="008964CD" w:rsidP="008964CD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</w:tc>
        <w:tc>
          <w:tcPr>
            <w:tcW w:w="8788" w:type="dxa"/>
            <w:vMerge/>
            <w:vAlign w:val="center"/>
            <w:hideMark/>
          </w:tcPr>
          <w:p w:rsidR="008964CD" w:rsidRPr="0031062A" w:rsidRDefault="008964CD" w:rsidP="008964CD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</w:tc>
      </w:tr>
      <w:tr w:rsidR="00FE7FDB" w:rsidRPr="00957EF4" w:rsidTr="00FE7FDB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FDB" w:rsidRPr="0031062A" w:rsidRDefault="00FE7FDB" w:rsidP="00FE7FDB">
            <w:pPr>
              <w:spacing w:after="0"/>
              <w:ind w:left="-108" w:right="-60"/>
              <w:jc w:val="center"/>
              <w:rPr>
                <w:i/>
                <w:sz w:val="24"/>
                <w:lang w:val="es-BO" w:eastAsia="en-US"/>
              </w:rPr>
            </w:pPr>
            <w:r w:rsidRPr="00FE7FDB">
              <w:rPr>
                <w:sz w:val="18"/>
                <w:szCs w:val="18"/>
                <w:lang w:val="es-BO" w:eastAsia="en-US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FE7FDB" w:rsidRPr="0031062A" w:rsidRDefault="00FE7FDB" w:rsidP="00D57258">
            <w:pPr>
              <w:spacing w:after="0"/>
              <w:jc w:val="left"/>
              <w:rPr>
                <w:i/>
                <w:sz w:val="24"/>
                <w:lang w:val="es-BO" w:eastAsia="en-US"/>
              </w:rPr>
            </w:pPr>
            <w:r w:rsidRPr="0031062A">
              <w:rPr>
                <w:b/>
                <w:bCs/>
                <w:i/>
                <w:sz w:val="24"/>
                <w:lang w:val="es-BO" w:eastAsia="en-US"/>
              </w:rPr>
              <w:t>BANCOS DE CAPACITORES</w:t>
            </w:r>
          </w:p>
        </w:tc>
      </w:tr>
      <w:tr w:rsidR="00E916A6" w:rsidRPr="00957EF4" w:rsidTr="006C3E89">
        <w:trPr>
          <w:trHeight w:val="7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916A6" w:rsidRPr="0031062A" w:rsidRDefault="00E916A6" w:rsidP="00AA19D1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E916A6" w:rsidRPr="0031062A" w:rsidRDefault="00E916A6" w:rsidP="00885DB6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sz w:val="18"/>
                <w:szCs w:val="18"/>
                <w:lang w:val="es-BO" w:eastAsia="en-US"/>
              </w:rPr>
              <w:t>1.</w:t>
            </w:r>
            <w:r w:rsidR="00885DB6">
              <w:rPr>
                <w:sz w:val="18"/>
                <w:szCs w:val="18"/>
                <w:lang w:val="es-BO" w:eastAsia="en-US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E916A6" w:rsidRPr="006C3E89" w:rsidRDefault="00E916A6" w:rsidP="006057CC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b/>
                <w:sz w:val="18"/>
                <w:szCs w:val="18"/>
                <w:lang w:val="es-BO" w:eastAsia="en-US"/>
              </w:rPr>
              <w:t xml:space="preserve">Banco de capacitores shunt </w:t>
            </w:r>
            <w:r w:rsidR="00E17E63">
              <w:rPr>
                <w:b/>
                <w:sz w:val="18"/>
                <w:szCs w:val="18"/>
                <w:lang w:val="es-BO" w:eastAsia="en-US"/>
              </w:rPr>
              <w:t>7.</w:t>
            </w:r>
            <w:r w:rsidR="00E17E63" w:rsidRPr="0031062A">
              <w:rPr>
                <w:b/>
                <w:sz w:val="18"/>
                <w:szCs w:val="18"/>
                <w:lang w:val="es-BO" w:eastAsia="en-US"/>
              </w:rPr>
              <w:t xml:space="preserve">2 </w:t>
            </w:r>
            <w:r w:rsidRPr="0031062A">
              <w:rPr>
                <w:b/>
                <w:sz w:val="18"/>
                <w:szCs w:val="18"/>
                <w:lang w:val="es-BO" w:eastAsia="en-US"/>
              </w:rPr>
              <w:t xml:space="preserve">MVAR </w:t>
            </w:r>
            <w:r w:rsidR="00E770B1" w:rsidRPr="0031062A">
              <w:rPr>
                <w:b/>
                <w:sz w:val="18"/>
                <w:szCs w:val="18"/>
                <w:lang w:val="es-BO" w:eastAsia="en-US"/>
              </w:rPr>
              <w:t>trifásico</w:t>
            </w:r>
            <w:r w:rsidRPr="0031062A">
              <w:rPr>
                <w:b/>
                <w:sz w:val="18"/>
                <w:szCs w:val="18"/>
                <w:lang w:val="es-BO" w:eastAsia="en-US"/>
              </w:rPr>
              <w:t xml:space="preserve">, </w:t>
            </w:r>
            <w:r w:rsidR="00112ED4" w:rsidRPr="0031062A">
              <w:rPr>
                <w:sz w:val="18"/>
                <w:szCs w:val="18"/>
                <w:lang w:val="es-BO" w:eastAsia="en-US"/>
              </w:rPr>
              <w:t>1</w:t>
            </w:r>
            <w:r w:rsidR="00112ED4">
              <w:rPr>
                <w:sz w:val="18"/>
                <w:szCs w:val="18"/>
                <w:lang w:val="es-BO" w:eastAsia="en-US"/>
              </w:rPr>
              <w:t>4</w:t>
            </w:r>
            <w:r w:rsidR="00112ED4" w:rsidRPr="0031062A">
              <w:rPr>
                <w:sz w:val="18"/>
                <w:szCs w:val="18"/>
                <w:lang w:val="es-BO" w:eastAsia="en-US"/>
              </w:rPr>
              <w:t xml:space="preserve">5 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kV, </w:t>
            </w:r>
            <w:r w:rsidR="00112ED4" w:rsidRPr="008F0C0B">
              <w:rPr>
                <w:sz w:val="18"/>
                <w:szCs w:val="18"/>
                <w:lang w:val="es-BO" w:eastAsia="en-US"/>
              </w:rPr>
              <w:t>6</w:t>
            </w:r>
            <w:r w:rsidRPr="00112ED4">
              <w:rPr>
                <w:sz w:val="18"/>
                <w:szCs w:val="18"/>
                <w:lang w:val="es-BO" w:eastAsia="en-US"/>
              </w:rPr>
              <w:t>50 kV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de BIL. Incluye el suministro de todos los accesorios de montaje, como ser: estructura soporte con aisladores (racks), conectores terminales, materiales de conexión entre módulos</w:t>
            </w:r>
            <w:r w:rsidR="006C3E89">
              <w:rPr>
                <w:sz w:val="18"/>
                <w:szCs w:val="18"/>
                <w:lang w:val="es-BO" w:eastAsia="en-US"/>
              </w:rPr>
              <w:t>.</w:t>
            </w:r>
          </w:p>
        </w:tc>
      </w:tr>
      <w:tr w:rsidR="00E916A6" w:rsidRPr="00957EF4" w:rsidTr="00F0388E">
        <w:trPr>
          <w:trHeight w:val="6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916A6" w:rsidRPr="0031062A" w:rsidRDefault="00E916A6" w:rsidP="00885DB6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sz w:val="18"/>
                <w:szCs w:val="18"/>
                <w:lang w:val="es-BO" w:eastAsia="en-US"/>
              </w:rPr>
              <w:t>1.</w:t>
            </w:r>
            <w:r w:rsidR="00885DB6">
              <w:rPr>
                <w:sz w:val="18"/>
                <w:szCs w:val="18"/>
                <w:lang w:val="es-BO" w:eastAsia="en-US"/>
              </w:rPr>
              <w:t>1</w:t>
            </w:r>
            <w:r w:rsidRPr="0031062A">
              <w:rPr>
                <w:sz w:val="18"/>
                <w:szCs w:val="18"/>
                <w:lang w:val="es-BO" w:eastAsia="en-US"/>
              </w:rPr>
              <w:t>R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916A6" w:rsidRPr="006C3E89" w:rsidRDefault="00E916A6" w:rsidP="00FE7FDB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b/>
                <w:sz w:val="18"/>
                <w:szCs w:val="18"/>
                <w:lang w:val="es-BO" w:eastAsia="en-US"/>
              </w:rPr>
              <w:t xml:space="preserve">Lote de Repuestos 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para el banco de capacitores shunt </w:t>
            </w:r>
            <w:r w:rsidR="00112ED4" w:rsidRPr="0031062A">
              <w:rPr>
                <w:sz w:val="18"/>
                <w:szCs w:val="18"/>
                <w:lang w:val="es-BO" w:eastAsia="en-US"/>
              </w:rPr>
              <w:t>1</w:t>
            </w:r>
            <w:r w:rsidR="00112ED4">
              <w:rPr>
                <w:sz w:val="18"/>
                <w:szCs w:val="18"/>
                <w:lang w:val="es-BO" w:eastAsia="en-US"/>
              </w:rPr>
              <w:t>4</w:t>
            </w:r>
            <w:r w:rsidR="00112ED4" w:rsidRPr="0031062A">
              <w:rPr>
                <w:sz w:val="18"/>
                <w:szCs w:val="18"/>
                <w:lang w:val="es-BO" w:eastAsia="en-US"/>
              </w:rPr>
              <w:t xml:space="preserve">5 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kV, descrito en el </w:t>
            </w:r>
            <w:r w:rsidRPr="0031062A">
              <w:rPr>
                <w:b/>
                <w:sz w:val="18"/>
                <w:szCs w:val="18"/>
                <w:lang w:val="es-BO" w:eastAsia="en-US"/>
              </w:rPr>
              <w:t>ítem 1.</w:t>
            </w:r>
            <w:r w:rsidR="00FE7FDB">
              <w:rPr>
                <w:b/>
                <w:sz w:val="18"/>
                <w:szCs w:val="18"/>
                <w:lang w:val="es-BO" w:eastAsia="en-US"/>
              </w:rPr>
              <w:t>1</w:t>
            </w:r>
            <w:r w:rsidRPr="0031062A">
              <w:rPr>
                <w:sz w:val="18"/>
                <w:szCs w:val="18"/>
                <w:lang w:val="es-BO" w:eastAsia="en-US"/>
              </w:rPr>
              <w:t>, (debe incluir al menos: 2 unidades capacitivas</w:t>
            </w:r>
            <w:r w:rsidR="00112ED4">
              <w:rPr>
                <w:sz w:val="18"/>
                <w:szCs w:val="18"/>
                <w:lang w:val="es-BO" w:eastAsia="en-US"/>
              </w:rPr>
              <w:t>, un transformador de corriente de neutro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y accesorios requeridos para el funcionamiento de 10 años).</w:t>
            </w:r>
          </w:p>
        </w:tc>
      </w:tr>
      <w:tr w:rsidR="000F6C4F" w:rsidRPr="00957EF4" w:rsidTr="008F0C0B">
        <w:trPr>
          <w:trHeight w:val="496"/>
        </w:trPr>
        <w:tc>
          <w:tcPr>
            <w:tcW w:w="851" w:type="dxa"/>
            <w:shd w:val="clear" w:color="auto" w:fill="auto"/>
          </w:tcPr>
          <w:p w:rsidR="000F6C4F" w:rsidRPr="0031062A" w:rsidRDefault="000F6C4F" w:rsidP="00885DB6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sz w:val="18"/>
                <w:szCs w:val="18"/>
                <w:lang w:val="es-BO" w:eastAsia="en-US"/>
              </w:rPr>
              <w:t>1.2</w:t>
            </w:r>
          </w:p>
        </w:tc>
        <w:tc>
          <w:tcPr>
            <w:tcW w:w="8788" w:type="dxa"/>
            <w:shd w:val="clear" w:color="auto" w:fill="auto"/>
          </w:tcPr>
          <w:p w:rsidR="000F6C4F" w:rsidRPr="0031062A" w:rsidRDefault="000F6C4F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 w:rsidRPr="0031062A">
              <w:rPr>
                <w:b/>
                <w:sz w:val="18"/>
                <w:szCs w:val="18"/>
                <w:lang w:val="es-BO" w:eastAsia="en-US"/>
              </w:rPr>
              <w:t xml:space="preserve">Reactor de amortiguamiento 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para </w:t>
            </w:r>
            <w:r w:rsidR="00456DEF">
              <w:rPr>
                <w:sz w:val="18"/>
                <w:szCs w:val="18"/>
                <w:lang w:val="es-BO" w:eastAsia="en-US"/>
              </w:rPr>
              <w:t>145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kV a </w:t>
            </w:r>
            <w:r w:rsidR="00E17E63">
              <w:rPr>
                <w:sz w:val="18"/>
                <w:szCs w:val="18"/>
                <w:lang w:val="es-BO" w:eastAsia="en-US"/>
              </w:rPr>
              <w:t>1</w:t>
            </w:r>
            <w:r w:rsidR="00BF0508">
              <w:rPr>
                <w:sz w:val="18"/>
                <w:szCs w:val="18"/>
                <w:lang w:val="es-BO" w:eastAsia="en-US"/>
              </w:rPr>
              <w:t>000</w:t>
            </w:r>
            <w:r w:rsidR="00BF0508" w:rsidRPr="0031062A">
              <w:rPr>
                <w:sz w:val="18"/>
                <w:szCs w:val="18"/>
                <w:lang w:val="es-BO" w:eastAsia="en-US"/>
              </w:rPr>
              <w:t xml:space="preserve"> 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msnm, 125 A, corriente de cortocircuito térmica de </w:t>
            </w:r>
            <w:r w:rsidR="00861A09">
              <w:rPr>
                <w:sz w:val="18"/>
                <w:szCs w:val="18"/>
                <w:lang w:val="es-BO" w:eastAsia="en-US"/>
              </w:rPr>
              <w:t>20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kA, incluye aisladores soporte de </w:t>
            </w:r>
            <w:r w:rsidR="00112ED4" w:rsidRPr="008F0C0B">
              <w:rPr>
                <w:sz w:val="18"/>
                <w:szCs w:val="18"/>
                <w:lang w:val="es-BO" w:eastAsia="en-US"/>
              </w:rPr>
              <w:t>6</w:t>
            </w:r>
            <w:r w:rsidRPr="00112ED4">
              <w:rPr>
                <w:sz w:val="18"/>
                <w:szCs w:val="18"/>
                <w:lang w:val="es-BO" w:eastAsia="en-US"/>
              </w:rPr>
              <w:t>50 kV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de BIL, estructuras soporte y conectores terminales.</w:t>
            </w:r>
          </w:p>
        </w:tc>
      </w:tr>
      <w:tr w:rsidR="004306BE" w:rsidRPr="00957EF4" w:rsidTr="00F0388E">
        <w:trPr>
          <w:trHeight w:val="888"/>
        </w:trPr>
        <w:tc>
          <w:tcPr>
            <w:tcW w:w="851" w:type="dxa"/>
            <w:shd w:val="clear" w:color="auto" w:fill="auto"/>
          </w:tcPr>
          <w:p w:rsidR="004306BE" w:rsidRPr="0031062A" w:rsidRDefault="004306BE" w:rsidP="00885DB6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sz w:val="18"/>
                <w:szCs w:val="18"/>
                <w:lang w:val="es-BO" w:eastAsia="en-US"/>
              </w:rPr>
              <w:t>1.</w:t>
            </w:r>
            <w:r w:rsidR="00885DB6">
              <w:rPr>
                <w:sz w:val="18"/>
                <w:szCs w:val="18"/>
                <w:lang w:val="es-BO" w:eastAsia="en-US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4306BE" w:rsidRPr="0031062A" w:rsidRDefault="004306BE">
            <w:pPr>
              <w:spacing w:after="0"/>
              <w:rPr>
                <w:sz w:val="18"/>
                <w:szCs w:val="18"/>
                <w:lang w:val="es-BO" w:eastAsia="en-US"/>
              </w:rPr>
            </w:pPr>
            <w:r w:rsidRPr="0031062A">
              <w:rPr>
                <w:b/>
                <w:sz w:val="18"/>
                <w:szCs w:val="18"/>
                <w:lang w:val="es-BO" w:eastAsia="en-US"/>
              </w:rPr>
              <w:t>Transformador de corriente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24 kV, 1</w:t>
            </w:r>
            <w:r w:rsidR="00BF0508">
              <w:rPr>
                <w:sz w:val="18"/>
                <w:szCs w:val="18"/>
                <w:lang w:val="es-BO" w:eastAsia="en-US"/>
              </w:rPr>
              <w:t>25</w:t>
            </w:r>
            <w:r w:rsidRPr="0031062A">
              <w:rPr>
                <w:sz w:val="18"/>
                <w:szCs w:val="18"/>
                <w:lang w:val="es-BO" w:eastAsia="en-US"/>
              </w:rPr>
              <w:t xml:space="preserve"> kV de BIL, instalación exterior, a instalar en el neutro a tierra del banco de capacitores shunt. Un arrollamiento secundario, con relación de transformación a definir de acuerdo a requerimiento del sistema de protección, aislado en aceite, incluye estructura soporte, conectores terminales y una caja de interconexión secundaria por cada dos transformadores.</w:t>
            </w:r>
          </w:p>
        </w:tc>
      </w:tr>
    </w:tbl>
    <w:p w:rsidR="008964CD" w:rsidRPr="00F0388E" w:rsidRDefault="008964CD" w:rsidP="00E45BC4">
      <w:pPr>
        <w:jc w:val="center"/>
        <w:rPr>
          <w:i/>
          <w:sz w:val="24"/>
        </w:rPr>
      </w:pPr>
    </w:p>
    <w:p w:rsidR="002454BE" w:rsidRPr="00F0388E" w:rsidRDefault="0067585E" w:rsidP="006005F9">
      <w:pPr>
        <w:rPr>
          <w:i/>
          <w:sz w:val="24"/>
        </w:rPr>
      </w:pPr>
      <w:r w:rsidRPr="00F0388E">
        <w:rPr>
          <w:i/>
          <w:sz w:val="24"/>
        </w:rPr>
        <w:t>LISTA DETALLADA DE REPUESTOS</w:t>
      </w:r>
      <w:r w:rsidR="00E93E21" w:rsidRPr="00F0388E">
        <w:rPr>
          <w:i/>
          <w:sz w:val="24"/>
        </w:rPr>
        <w:t xml:space="preserve"> PARA CADA </w:t>
      </w:r>
      <w:r w:rsidR="009E5EA7" w:rsidRPr="00F0388E">
        <w:rPr>
          <w:i/>
          <w:sz w:val="24"/>
        </w:rPr>
        <w:t>BANCO DE CAPACITORES</w:t>
      </w:r>
    </w:p>
    <w:p w:rsidR="003F078F" w:rsidRPr="00F0388E" w:rsidRDefault="003F078F" w:rsidP="006005F9">
      <w:r w:rsidRPr="00F0388E">
        <w:t xml:space="preserve">El proponente deberá presentar </w:t>
      </w:r>
      <w:r w:rsidR="005738FB" w:rsidRPr="00F0388E">
        <w:t xml:space="preserve">una Lista Detallada de Repuestos con </w:t>
      </w:r>
      <w:r w:rsidR="00313131" w:rsidRPr="00F0388E">
        <w:t>desglose</w:t>
      </w:r>
      <w:r w:rsidR="005738FB" w:rsidRPr="00F0388E">
        <w:t xml:space="preserve"> de precios unitarios, que incluyan como </w:t>
      </w:r>
      <w:r w:rsidR="00313131" w:rsidRPr="00F0388E">
        <w:t>mínimo</w:t>
      </w:r>
      <w:r w:rsidR="005738FB" w:rsidRPr="00F0388E">
        <w:t xml:space="preserve"> los siguientes componentes</w:t>
      </w:r>
      <w:r w:rsidR="00B3094C" w:rsidRPr="00F0388E">
        <w:t xml:space="preserve"> para cada </w:t>
      </w:r>
      <w:r w:rsidR="009E5EA7" w:rsidRPr="00F0388E">
        <w:t>banco de capacitores</w:t>
      </w:r>
      <w:r w:rsidR="005738FB" w:rsidRPr="00F0388E">
        <w:t>:</w:t>
      </w:r>
    </w:p>
    <w:p w:rsidR="00F21C8A" w:rsidRPr="00F0388E" w:rsidRDefault="00F21C8A" w:rsidP="006005F9">
      <w:pPr>
        <w:rPr>
          <w:szCs w:val="20"/>
          <w:lang w:eastAsia="es-BO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8775"/>
      </w:tblGrid>
      <w:tr w:rsidR="00E01E67" w:rsidRPr="006057CC" w:rsidTr="00B30996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1E67" w:rsidRPr="00F0388E" w:rsidRDefault="00E01E67" w:rsidP="00A33E26">
            <w:pPr>
              <w:spacing w:after="0"/>
              <w:rPr>
                <w:sz w:val="18"/>
                <w:szCs w:val="18"/>
              </w:rPr>
            </w:pPr>
            <w:r w:rsidRPr="00F0388E">
              <w:rPr>
                <w:sz w:val="18"/>
                <w:szCs w:val="18"/>
              </w:rPr>
              <w:t>Nº</w:t>
            </w:r>
          </w:p>
        </w:tc>
        <w:tc>
          <w:tcPr>
            <w:tcW w:w="87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1E67" w:rsidRPr="00F0388E" w:rsidRDefault="005A01D3" w:rsidP="00D815C2">
            <w:pPr>
              <w:spacing w:after="0"/>
              <w:rPr>
                <w:sz w:val="18"/>
                <w:szCs w:val="18"/>
              </w:rPr>
            </w:pPr>
            <w:r w:rsidRPr="00F0388E">
              <w:rPr>
                <w:rFonts w:cs="Calibri"/>
                <w:b/>
                <w:i/>
                <w:sz w:val="18"/>
                <w:szCs w:val="18"/>
              </w:rPr>
              <w:t xml:space="preserve">REPUESTOS -  </w:t>
            </w:r>
            <w:r w:rsidR="00D815C2" w:rsidRPr="00F0388E">
              <w:rPr>
                <w:rFonts w:cs="Calibri"/>
                <w:b/>
                <w:i/>
                <w:sz w:val="18"/>
                <w:szCs w:val="18"/>
              </w:rPr>
              <w:t>BANCOS DE CAPACITORES</w:t>
            </w:r>
          </w:p>
        </w:tc>
      </w:tr>
      <w:tr w:rsidR="00E01E67" w:rsidRPr="006057CC" w:rsidTr="00B30996">
        <w:trPr>
          <w:trHeight w:val="220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1E67" w:rsidRPr="00F948CA" w:rsidRDefault="00E01E67" w:rsidP="00A33E2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1E67" w:rsidRPr="00F948CA" w:rsidRDefault="00E01E67" w:rsidP="00A33E26">
            <w:pPr>
              <w:spacing w:after="0"/>
              <w:rPr>
                <w:sz w:val="18"/>
                <w:szCs w:val="18"/>
              </w:rPr>
            </w:pPr>
          </w:p>
        </w:tc>
      </w:tr>
      <w:tr w:rsidR="00E01E67" w:rsidRPr="006057CC" w:rsidTr="00E01E67">
        <w:trPr>
          <w:trHeight w:val="2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67" w:rsidRPr="00F0388E" w:rsidRDefault="00E01E67" w:rsidP="00A33E26">
            <w:pPr>
              <w:spacing w:after="0"/>
              <w:rPr>
                <w:sz w:val="18"/>
                <w:szCs w:val="18"/>
              </w:rPr>
            </w:pPr>
            <w:r w:rsidRPr="00F0388E">
              <w:rPr>
                <w:sz w:val="18"/>
                <w:szCs w:val="18"/>
              </w:rPr>
              <w:t>1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E67" w:rsidRPr="00F0388E" w:rsidRDefault="009E5EA7" w:rsidP="009E5EA7">
            <w:pPr>
              <w:spacing w:after="0"/>
              <w:rPr>
                <w:sz w:val="18"/>
                <w:szCs w:val="18"/>
              </w:rPr>
            </w:pPr>
            <w:r w:rsidRPr="00F0388E">
              <w:rPr>
                <w:sz w:val="18"/>
                <w:szCs w:val="18"/>
              </w:rPr>
              <w:t xml:space="preserve">Dos </w:t>
            </w:r>
            <w:r w:rsidR="00E01E67" w:rsidRPr="00F0388E">
              <w:rPr>
                <w:sz w:val="18"/>
                <w:szCs w:val="18"/>
              </w:rPr>
              <w:t>(</w:t>
            </w:r>
            <w:r w:rsidRPr="00F0388E">
              <w:rPr>
                <w:sz w:val="18"/>
                <w:szCs w:val="18"/>
              </w:rPr>
              <w:t>2</w:t>
            </w:r>
            <w:r w:rsidR="00E01E67" w:rsidRPr="00F0388E">
              <w:rPr>
                <w:sz w:val="18"/>
                <w:szCs w:val="18"/>
              </w:rPr>
              <w:t xml:space="preserve">) </w:t>
            </w:r>
            <w:r w:rsidRPr="00F0388E">
              <w:rPr>
                <w:sz w:val="18"/>
                <w:szCs w:val="18"/>
              </w:rPr>
              <w:t>unidades capacitivas</w:t>
            </w:r>
            <w:r w:rsidR="00E01E67" w:rsidRPr="00F0388E">
              <w:rPr>
                <w:sz w:val="18"/>
                <w:szCs w:val="18"/>
              </w:rPr>
              <w:t>.</w:t>
            </w:r>
          </w:p>
        </w:tc>
      </w:tr>
      <w:tr w:rsidR="00D815C2" w:rsidRPr="006057CC" w:rsidTr="00E01E67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C2" w:rsidRPr="00F0388E" w:rsidRDefault="005A08B8" w:rsidP="005A08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5C2" w:rsidRPr="00F0388E" w:rsidRDefault="00FA7FF0" w:rsidP="00C173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(1) transformador de corriente de neutro</w:t>
            </w:r>
          </w:p>
        </w:tc>
      </w:tr>
      <w:tr w:rsidR="00FA7FF0" w:rsidRPr="006057CC" w:rsidTr="00E01E67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0" w:rsidRDefault="00FA7FF0" w:rsidP="005A08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FF0" w:rsidRPr="00F0388E" w:rsidRDefault="00FA7FF0" w:rsidP="00C173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</w:tbl>
    <w:p w:rsidR="00AD392C" w:rsidRPr="00F0388E" w:rsidRDefault="00AD392C" w:rsidP="006005F9"/>
    <w:p w:rsidR="00F21C8A" w:rsidRDefault="00F21C8A" w:rsidP="00F21C8A">
      <w:r w:rsidRPr="00F0388E">
        <w:lastRenderedPageBreak/>
        <w:t>(**) Se deben listar los repuestos y herramientas especiales necesarias para una operación de 10 años; y, otros repuestos sugeridos por el fabricante.</w:t>
      </w:r>
      <w:r w:rsidRPr="00BD45DD">
        <w:t xml:space="preserve"> </w:t>
      </w:r>
    </w:p>
    <w:p w:rsidR="00E45BC4" w:rsidRDefault="00E45BC4" w:rsidP="00E45BC4">
      <w:pPr>
        <w:pStyle w:val="Ttulo1"/>
      </w:pPr>
      <w:bookmarkStart w:id="47" w:name="_Toc287470593"/>
      <w:bookmarkStart w:id="48" w:name="_Toc316330630"/>
      <w:bookmarkStart w:id="49" w:name="_Toc530065348"/>
      <w:r>
        <w:t>PLANILLA DE DATOS TÉCNICOS GARANTIZADOS</w:t>
      </w:r>
      <w:bookmarkEnd w:id="47"/>
      <w:bookmarkEnd w:id="48"/>
      <w:bookmarkEnd w:id="49"/>
    </w:p>
    <w:p w:rsidR="00E45BC4" w:rsidRDefault="005A22B9" w:rsidP="00E45BC4">
      <w:r>
        <w:t xml:space="preserve">Para cada uno de los </w:t>
      </w:r>
      <w:r w:rsidR="00DD1210">
        <w:t>Ítems</w:t>
      </w:r>
      <w:r>
        <w:t xml:space="preserve"> ofertados, e</w:t>
      </w:r>
      <w:r w:rsidR="00E45BC4">
        <w:t xml:space="preserve">l Proponente presentará con su propuesta la Planilla de Datos Técnicos Garantizados debidamente llenadas, firmadas y selladas, las mismas que servirán de base para la evaluación técnica de la propuesta presentada y el posterior control de la provisión. </w:t>
      </w:r>
    </w:p>
    <w:p w:rsidR="00A61E80" w:rsidRDefault="00A61E80">
      <w:pPr>
        <w:spacing w:after="0"/>
        <w:jc w:val="left"/>
      </w:pPr>
    </w:p>
    <w:p w:rsidR="00E45BC4" w:rsidRDefault="00E45BC4" w:rsidP="00304E90">
      <w:pPr>
        <w:ind w:right="-1"/>
        <w:jc w:val="center"/>
        <w:rPr>
          <w:b/>
          <w:i/>
          <w:sz w:val="28"/>
          <w:szCs w:val="28"/>
        </w:rPr>
      </w:pPr>
      <w:r w:rsidRPr="007A3F36">
        <w:rPr>
          <w:b/>
          <w:i/>
          <w:sz w:val="28"/>
          <w:szCs w:val="28"/>
        </w:rPr>
        <w:t>PLANILLA DE DATOS TÉCNICOS GARANTIZADOS</w:t>
      </w:r>
      <w:r w:rsidR="0062230F" w:rsidRPr="007A3F36">
        <w:rPr>
          <w:b/>
          <w:i/>
          <w:sz w:val="28"/>
          <w:szCs w:val="28"/>
        </w:rPr>
        <w:t xml:space="preserve"> -  </w:t>
      </w:r>
      <w:r w:rsidR="00BA4C8D">
        <w:rPr>
          <w:b/>
          <w:i/>
          <w:sz w:val="28"/>
          <w:szCs w:val="28"/>
        </w:rPr>
        <w:t>BANCOS DE CAPACITORES</w:t>
      </w:r>
      <w:r w:rsidR="00FE7FDB">
        <w:rPr>
          <w:b/>
          <w:i/>
          <w:sz w:val="28"/>
          <w:szCs w:val="28"/>
        </w:rPr>
        <w:t xml:space="preserve"> ítem 1.1</w:t>
      </w:r>
      <w:bookmarkStart w:id="50" w:name="_GoBack"/>
      <w:bookmarkEnd w:id="50"/>
    </w:p>
    <w:p w:rsidR="00CF5E5B" w:rsidRDefault="00CF5E5B" w:rsidP="00C06CA2">
      <w:pPr>
        <w:rPr>
          <w:b/>
          <w:u w:val="single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002"/>
        <w:gridCol w:w="780"/>
        <w:gridCol w:w="2246"/>
        <w:gridCol w:w="1219"/>
        <w:gridCol w:w="1219"/>
        <w:gridCol w:w="1219"/>
      </w:tblGrid>
      <w:tr w:rsidR="007A7C38" w:rsidRPr="007A7C38" w:rsidTr="007A7C38">
        <w:trPr>
          <w:trHeight w:val="9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REQUERIDO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>ALTERNATIVA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>ALTERNATIVA 2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>(OPCIONAL)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OFRECIDO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>ALTERNATIVA 3</w:t>
            </w:r>
            <w:r w:rsidRPr="007A7C38">
              <w:rPr>
                <w:color w:val="000000"/>
                <w:w w:val="100"/>
                <w:sz w:val="18"/>
                <w:szCs w:val="18"/>
              </w:rPr>
              <w:br/>
              <w:t>(OPCIONAL)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DATOS GENERALES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Fabricante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  <w:lang w:val="en-US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País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Altitud máxima de instalación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msnm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(El BIL ya fue corregido)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Normas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DATOS NOMINALES Y CARACTERÍSTICAS DEL BANCO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Frecuencia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Número de fases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Potencia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2.4</w:t>
            </w:r>
          </w:p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Características de Tensión: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Nominal del sistema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máxima de operación del banco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  <w:u w:val="single"/>
              </w:rPr>
            </w:pPr>
            <w:r w:rsidRPr="007A7C38">
              <w:rPr>
                <w:color w:val="000000"/>
                <w:w w:val="100"/>
                <w:sz w:val="18"/>
                <w:szCs w:val="18"/>
                <w:u w:val="single"/>
              </w:rPr>
              <w:t xml:space="preserve">Nivel de aislamiento a </w:t>
            </w:r>
            <w:r>
              <w:rPr>
                <w:color w:val="000000"/>
                <w:w w:val="100"/>
                <w:sz w:val="18"/>
                <w:szCs w:val="18"/>
                <w:u w:val="single"/>
              </w:rPr>
              <w:t>la altura de instalación</w:t>
            </w:r>
            <w:r w:rsidRPr="007A7C38">
              <w:rPr>
                <w:color w:val="000000"/>
                <w:w w:val="100"/>
                <w:sz w:val="18"/>
                <w:szCs w:val="18"/>
                <w:u w:val="single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de sostenimiento a frecuencia industrial, 1  minuto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de sostenimiento a impulso 1,2/50 (LIWL)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de sostenimiento a impulso de maniobra (SIWL)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Distancia entre los ejes de fases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≥ 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  <w:lang w:val="es-BO"/>
              </w:rPr>
              <w:t>(a ser definido en la aprobación de planos)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Corriente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Tipo de conexión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Doble estrella a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2.8</w:t>
            </w:r>
          </w:p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Número de unidades capacitivas por fase: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a) En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b) En paralelo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2.9</w:t>
            </w:r>
          </w:p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Aisladores de paso: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Material /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Porc. / Marrón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Línea de fuga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mm/kV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≥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DATOS NOMINALES Y CARACTERÍSTICAS DE LAS UNIDADES CAPACITIVAS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Potencia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según el arreglo propuesto por el fabricante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Características de Tensión: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según el arreglo propuesto por el fabricante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3.</w:t>
            </w:r>
            <w:r w:rsidR="00433CDF">
              <w:rPr>
                <w:color w:val="000000"/>
                <w:w w:val="1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Aisladores pasatapas: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Número de aisladores pasatapas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Material /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Porc. / Marrón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Línea de fuga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mm/kV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≥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3.</w:t>
            </w:r>
            <w:r w:rsidR="00433CDF">
              <w:rPr>
                <w:color w:val="000000"/>
                <w:w w:val="1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Tipo de protección de la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Sin fusibles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REACTOR DE AMORTIGUAMIENTO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Frecuencia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Características de Tensión: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nominal del sistema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asignada del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de sostenimiento a impulso 1,2/50 (LIWL)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Corriente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Corrientes Máximas de Cortocircuito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a) Resistencia Térmica para 1 segundo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b) Resistencia Mecánica para picos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Inductancia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433CDF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433CDF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</w:t>
            </w:r>
            <w:r w:rsidR="00433CDF">
              <w:rPr>
                <w:color w:val="000000"/>
                <w:w w:val="1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Estructura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Pernos de anclaje para la estructura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</w:t>
            </w:r>
            <w:r w:rsidR="00C51248">
              <w:rPr>
                <w:color w:val="000000"/>
                <w:w w:val="1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Aisladores de paso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Marca / 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C6-650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Material /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Porc./Marrón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Línea de fuga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mm/kV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4.</w:t>
            </w:r>
            <w:r w:rsidR="00C51248">
              <w:rPr>
                <w:color w:val="000000"/>
                <w:w w:val="10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Conectores terminales primarios 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Sección/diámetro del cable de aluminio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397 a 954 MCM, ACSR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Cantidad / Tipo de conexión del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2pzas / Horiz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TRANSFORMADORES DE CORRIENTE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Frecuencia nominal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Tensión asignada del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  <w:u w:val="single"/>
              </w:rPr>
            </w:pPr>
            <w:r w:rsidRPr="007A7C38">
              <w:rPr>
                <w:color w:val="000000"/>
                <w:w w:val="100"/>
                <w:sz w:val="18"/>
                <w:szCs w:val="18"/>
                <w:u w:val="single"/>
              </w:rPr>
              <w:t xml:space="preserve">Nivel de aislamiento a </w:t>
            </w:r>
            <w:r w:rsidR="00C51248">
              <w:rPr>
                <w:color w:val="000000"/>
                <w:w w:val="100"/>
                <w:sz w:val="18"/>
                <w:szCs w:val="18"/>
                <w:u w:val="single"/>
              </w:rPr>
              <w:t>la altura de instalación</w:t>
            </w:r>
            <w:r w:rsidRPr="007A7C38">
              <w:rPr>
                <w:color w:val="000000"/>
                <w:w w:val="100"/>
                <w:sz w:val="18"/>
                <w:szCs w:val="18"/>
                <w:u w:val="single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soportada a 50 Hz, 1  minuto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Tensión de sostenimiento a impulso 1,2/50 (LIWL)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Características de Corriente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Corriente nominal primario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Corriente nominal de corta duración, 1 s (I th)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C5124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C5124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Relaciones de transformación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>
              <w:rPr>
                <w:color w:val="000000"/>
                <w:w w:val="100"/>
                <w:sz w:val="18"/>
                <w:szCs w:val="18"/>
              </w:rPr>
              <w:t>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Numero de núcleos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  <w:lang w:val="en-US"/>
              </w:rPr>
              <w:t>1 protec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Características de los núcleos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VA/clase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10VA / 5P10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Relación para la carga de precisión nominal especificada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10 x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Aisladores de paso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Marca / 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Indicar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Material /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Porc./Marrón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Línea de fuga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mm/kV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Estructura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Pernos de anclaje para la estructura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635E4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5.9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Conectores terminales primarios 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Sección/diámetro del cable de cobre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4/0 AWG a 120 mm2, 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Cantidad / Tipo de conexión del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2pzas / Horiz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7A7C38" w:rsidRPr="007A7C38" w:rsidTr="007A7C3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C38" w:rsidRPr="007A7C38" w:rsidRDefault="007A7C38" w:rsidP="007A7C38">
            <w:pPr>
              <w:spacing w:after="0"/>
              <w:jc w:val="center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7C38" w:rsidRPr="007A7C38" w:rsidRDefault="007A7C38" w:rsidP="007A7C38">
            <w:pPr>
              <w:spacing w:after="0"/>
              <w:jc w:val="left"/>
              <w:rPr>
                <w:b/>
                <w:bCs/>
                <w:color w:val="000000"/>
                <w:w w:val="100"/>
                <w:sz w:val="18"/>
                <w:szCs w:val="18"/>
              </w:rPr>
            </w:pPr>
            <w:r w:rsidRPr="007A7C38">
              <w:rPr>
                <w:b/>
                <w:bCs/>
                <w:color w:val="000000"/>
                <w:w w:val="100"/>
                <w:sz w:val="18"/>
                <w:szCs w:val="18"/>
              </w:rPr>
              <w:t>ESTRUCTURA SOPORTE Y CONECTORES DEL BANCO</w:t>
            </w:r>
          </w:p>
        </w:tc>
      </w:tr>
      <w:tr w:rsidR="00635E43" w:rsidRPr="007A7C38" w:rsidTr="00635E43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E43" w:rsidRPr="007A7C38" w:rsidRDefault="00635E43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lastRenderedPageBreak/>
              <w:t>6.1</w:t>
            </w:r>
          </w:p>
          <w:p w:rsidR="00635E43" w:rsidRPr="007A7C38" w:rsidRDefault="00635E43" w:rsidP="00635E43">
            <w:pPr>
              <w:spacing w:after="0"/>
              <w:jc w:val="center"/>
              <w:rPr>
                <w:color w:val="000000"/>
                <w:w w:val="100"/>
                <w:sz w:val="22"/>
                <w:szCs w:val="22"/>
              </w:rPr>
            </w:pPr>
          </w:p>
          <w:p w:rsidR="00635E43" w:rsidRPr="007A7C38" w:rsidRDefault="00635E43" w:rsidP="00635E43">
            <w:pPr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Estructuras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635E43" w:rsidRPr="007A7C38" w:rsidTr="00635E43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E43" w:rsidRPr="007A7C38" w:rsidRDefault="00635E43" w:rsidP="00635E43">
            <w:pPr>
              <w:jc w:val="center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Material de las estructuras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Acero galvanizado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635E43" w:rsidRPr="007A7C38" w:rsidTr="00635E43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E43" w:rsidRPr="007A7C38" w:rsidRDefault="00635E43" w:rsidP="00635E43">
            <w:pPr>
              <w:spacing w:after="0"/>
              <w:jc w:val="center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Pernos de anclaje para la estructura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635E43" w:rsidRPr="007A7C38" w:rsidTr="00635E43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E43" w:rsidRPr="007A7C38" w:rsidRDefault="00635E43" w:rsidP="00635E43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6.2</w:t>
            </w:r>
          </w:p>
          <w:p w:rsidR="00635E43" w:rsidRPr="007A7C38" w:rsidRDefault="00635E43" w:rsidP="00635E43">
            <w:pPr>
              <w:spacing w:after="0"/>
              <w:jc w:val="center"/>
              <w:rPr>
                <w:color w:val="000000"/>
                <w:w w:val="100"/>
                <w:sz w:val="22"/>
                <w:szCs w:val="22"/>
              </w:rPr>
            </w:pPr>
          </w:p>
          <w:p w:rsidR="00635E43" w:rsidRPr="007A7C38" w:rsidRDefault="00635E43" w:rsidP="00635E43">
            <w:pPr>
              <w:jc w:val="center"/>
              <w:rPr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Conectores terminales primarios 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635E43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Sección/diámetro del cable de aluminio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397 a 954 MCM, ACSR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635E43" w:rsidRPr="007A7C38" w:rsidTr="00885DB6">
        <w:trPr>
          <w:trHeight w:val="5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- Tipo de conexión del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center"/>
              <w:rPr>
                <w:color w:val="000000"/>
                <w:w w:val="100"/>
                <w:sz w:val="18"/>
                <w:szCs w:val="18"/>
              </w:rPr>
            </w:pPr>
            <w:r w:rsidRPr="007A7C38">
              <w:rPr>
                <w:color w:val="000000"/>
                <w:w w:val="100"/>
                <w:sz w:val="18"/>
                <w:szCs w:val="18"/>
              </w:rPr>
              <w:t>Horizontal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E43" w:rsidRPr="007A7C38" w:rsidRDefault="00635E43" w:rsidP="007A7C38">
            <w:pPr>
              <w:spacing w:after="0"/>
              <w:jc w:val="left"/>
              <w:rPr>
                <w:color w:val="000000"/>
                <w:w w:val="100"/>
                <w:sz w:val="22"/>
                <w:szCs w:val="22"/>
              </w:rPr>
            </w:pPr>
            <w:r w:rsidRPr="007A7C38">
              <w:rPr>
                <w:color w:val="000000"/>
                <w:w w:val="100"/>
                <w:sz w:val="22"/>
                <w:szCs w:val="22"/>
              </w:rPr>
              <w:t> </w:t>
            </w:r>
          </w:p>
        </w:tc>
      </w:tr>
    </w:tbl>
    <w:p w:rsidR="007A7C38" w:rsidRDefault="007A7C38" w:rsidP="00C06CA2">
      <w:pPr>
        <w:rPr>
          <w:b/>
          <w:u w:val="single"/>
        </w:rPr>
      </w:pPr>
    </w:p>
    <w:p w:rsidR="007A7C38" w:rsidRDefault="007A7C38" w:rsidP="00C06CA2">
      <w:pPr>
        <w:rPr>
          <w:b/>
          <w:u w:val="single"/>
        </w:rPr>
      </w:pPr>
    </w:p>
    <w:p w:rsidR="007A7C38" w:rsidRDefault="007A7C38" w:rsidP="00C06CA2">
      <w:pPr>
        <w:rPr>
          <w:b/>
          <w:u w:val="single"/>
        </w:rPr>
        <w:sectPr w:rsidR="007A7C38" w:rsidSect="00F8605B">
          <w:headerReference w:type="default" r:id="rId12"/>
          <w:footerReference w:type="default" r:id="rId13"/>
          <w:footerReference w:type="first" r:id="rId14"/>
          <w:pgSz w:w="12240" w:h="15840" w:code="1"/>
          <w:pgMar w:top="1418" w:right="1134" w:bottom="1418" w:left="1134" w:header="284" w:footer="284" w:gutter="0"/>
          <w:cols w:space="708"/>
          <w:titlePg/>
          <w:docGrid w:linePitch="360"/>
        </w:sectPr>
      </w:pPr>
    </w:p>
    <w:p w:rsidR="00CF5E5B" w:rsidRDefault="00CF5E5B" w:rsidP="00CF5E5B">
      <w:pPr>
        <w:pStyle w:val="Ttulo1"/>
      </w:pPr>
      <w:bookmarkStart w:id="51" w:name="_Toc530065349"/>
      <w:r>
        <w:lastRenderedPageBreak/>
        <w:t>DISPOSICIÓN DE COMPONENTES DEL BANCO DE CAPACITORES</w:t>
      </w:r>
      <w:bookmarkEnd w:id="51"/>
    </w:p>
    <w:p w:rsidR="00CF5E5B" w:rsidRDefault="00CF5E5B" w:rsidP="00CF5E5B">
      <w:pPr>
        <w:jc w:val="center"/>
      </w:pPr>
    </w:p>
    <w:p w:rsidR="00CF5E5B" w:rsidRDefault="00CF5E5B" w:rsidP="00CF5E5B">
      <w:pPr>
        <w:jc w:val="center"/>
      </w:pPr>
      <w:r w:rsidRPr="009D7D49">
        <w:rPr>
          <w:noProof/>
        </w:rPr>
        <w:drawing>
          <wp:inline distT="0" distB="0" distL="0" distR="0">
            <wp:extent cx="4399613" cy="2743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5" r="24808" b="7015"/>
                    <a:stretch/>
                  </pic:blipFill>
                  <pic:spPr bwMode="auto">
                    <a:xfrm>
                      <a:off x="0" y="0"/>
                      <a:ext cx="4400561" cy="27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E5B" w:rsidRDefault="00CF5E5B" w:rsidP="00CF5E5B">
      <w:pPr>
        <w:jc w:val="center"/>
      </w:pPr>
    </w:p>
    <w:p w:rsidR="00CF5E5B" w:rsidRDefault="00CF5E5B" w:rsidP="00CF5E5B">
      <w:pPr>
        <w:jc w:val="center"/>
      </w:pPr>
    </w:p>
    <w:p w:rsidR="00CF5E5B" w:rsidRPr="009F03F4" w:rsidRDefault="00CF5E5B" w:rsidP="00CF5E5B">
      <w:pPr>
        <w:jc w:val="center"/>
      </w:pPr>
      <w:r w:rsidRPr="009D7D49">
        <w:rPr>
          <w:noProof/>
        </w:rPr>
        <w:drawing>
          <wp:inline distT="0" distB="0" distL="0" distR="0">
            <wp:extent cx="4677508" cy="318408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6" t="31818" r="40660" b="39646"/>
                    <a:stretch/>
                  </pic:blipFill>
                  <pic:spPr bwMode="auto">
                    <a:xfrm>
                      <a:off x="0" y="0"/>
                      <a:ext cx="4686972" cy="319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E5B" w:rsidRPr="00F50AD6" w:rsidRDefault="00CF5E5B" w:rsidP="00CF5E5B">
      <w:pPr>
        <w:jc w:val="center"/>
        <w:rPr>
          <w:b/>
          <w:u w:val="single"/>
        </w:rPr>
      </w:pPr>
      <w:r w:rsidRPr="009D7D49">
        <w:rPr>
          <w:noProof/>
        </w:rPr>
        <w:lastRenderedPageBreak/>
        <w:drawing>
          <wp:inline distT="0" distB="0" distL="0" distR="0">
            <wp:extent cx="4683369" cy="376662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9" t="27272" r="36633" b="25000"/>
                    <a:stretch/>
                  </pic:blipFill>
                  <pic:spPr bwMode="auto">
                    <a:xfrm>
                      <a:off x="0" y="0"/>
                      <a:ext cx="4688256" cy="37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8F1" w:rsidRPr="00F50AD6" w:rsidRDefault="003128F1" w:rsidP="00C06CA2">
      <w:pPr>
        <w:rPr>
          <w:b/>
          <w:u w:val="single"/>
        </w:rPr>
      </w:pPr>
    </w:p>
    <w:sectPr w:rsidR="003128F1" w:rsidRPr="00F50AD6" w:rsidSect="0079571C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B6" w:rsidRDefault="00885DB6" w:rsidP="006005F9">
      <w:r>
        <w:separator/>
      </w:r>
    </w:p>
    <w:p w:rsidR="00885DB6" w:rsidRDefault="00885DB6" w:rsidP="006005F9"/>
    <w:p w:rsidR="00885DB6" w:rsidRDefault="00885DB6" w:rsidP="006005F9"/>
    <w:p w:rsidR="00885DB6" w:rsidRDefault="00885DB6" w:rsidP="006005F9"/>
    <w:p w:rsidR="00885DB6" w:rsidRDefault="00885DB6" w:rsidP="006005F9"/>
  </w:endnote>
  <w:endnote w:type="continuationSeparator" w:id="0">
    <w:p w:rsidR="00885DB6" w:rsidRDefault="00885DB6" w:rsidP="006005F9">
      <w:r>
        <w:continuationSeparator/>
      </w:r>
    </w:p>
    <w:p w:rsidR="00885DB6" w:rsidRDefault="00885DB6" w:rsidP="006005F9"/>
    <w:p w:rsidR="00885DB6" w:rsidRDefault="00885DB6" w:rsidP="006005F9"/>
    <w:p w:rsidR="00885DB6" w:rsidRDefault="00885DB6" w:rsidP="006005F9"/>
    <w:p w:rsidR="00885DB6" w:rsidRDefault="00885DB6" w:rsidP="006005F9"/>
  </w:endnote>
  <w:endnote w:type="continuationNotice" w:id="1">
    <w:p w:rsidR="00885DB6" w:rsidRDefault="00885D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849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5DB6" w:rsidRPr="008F0C0B" w:rsidRDefault="00885DB6">
        <w:pPr>
          <w:pStyle w:val="Piedepgina"/>
          <w:jc w:val="right"/>
          <w:rPr>
            <w:sz w:val="16"/>
          </w:rPr>
        </w:pPr>
        <w:r w:rsidRPr="008F0C0B">
          <w:rPr>
            <w:sz w:val="16"/>
          </w:rPr>
          <w:fldChar w:fldCharType="begin"/>
        </w:r>
        <w:r w:rsidRPr="008F0C0B">
          <w:rPr>
            <w:sz w:val="16"/>
          </w:rPr>
          <w:instrText>PAGE   \* MERGEFORMAT</w:instrText>
        </w:r>
        <w:r w:rsidRPr="008F0C0B">
          <w:rPr>
            <w:sz w:val="16"/>
          </w:rPr>
          <w:fldChar w:fldCharType="separate"/>
        </w:r>
        <w:r w:rsidR="00FE7FDB">
          <w:rPr>
            <w:noProof/>
            <w:sz w:val="16"/>
          </w:rPr>
          <w:t>12</w:t>
        </w:r>
        <w:r w:rsidRPr="008F0C0B">
          <w:rPr>
            <w:sz w:val="16"/>
          </w:rPr>
          <w:fldChar w:fldCharType="end"/>
        </w:r>
      </w:p>
    </w:sdtContent>
  </w:sdt>
  <w:p w:rsidR="00885DB6" w:rsidRDefault="00885DB6" w:rsidP="00E93E21">
    <w:pPr>
      <w:pStyle w:val="Piedepgin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228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5DB6" w:rsidRPr="008F0C0B" w:rsidRDefault="00885DB6">
        <w:pPr>
          <w:pStyle w:val="Piedepgina"/>
          <w:jc w:val="right"/>
          <w:rPr>
            <w:sz w:val="16"/>
          </w:rPr>
        </w:pPr>
        <w:r w:rsidRPr="008F0C0B">
          <w:rPr>
            <w:sz w:val="16"/>
          </w:rPr>
          <w:fldChar w:fldCharType="begin"/>
        </w:r>
        <w:r w:rsidRPr="008F0C0B">
          <w:rPr>
            <w:sz w:val="16"/>
          </w:rPr>
          <w:instrText>PAGE   \* MERGEFORMAT</w:instrText>
        </w:r>
        <w:r w:rsidRPr="008F0C0B">
          <w:rPr>
            <w:sz w:val="16"/>
          </w:rPr>
          <w:fldChar w:fldCharType="separate"/>
        </w:r>
        <w:r w:rsidR="00FE7FDB">
          <w:rPr>
            <w:noProof/>
            <w:sz w:val="16"/>
          </w:rPr>
          <w:t>1</w:t>
        </w:r>
        <w:r w:rsidRPr="008F0C0B">
          <w:rPr>
            <w:sz w:val="16"/>
          </w:rPr>
          <w:fldChar w:fldCharType="end"/>
        </w:r>
      </w:p>
    </w:sdtContent>
  </w:sdt>
  <w:p w:rsidR="00885DB6" w:rsidRDefault="00885DB6" w:rsidP="00DC1FB4">
    <w:pPr>
      <w:pStyle w:val="Piedepgina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22103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5DB6" w:rsidRPr="008F0C0B" w:rsidRDefault="00885DB6">
        <w:pPr>
          <w:pStyle w:val="Piedepgina"/>
          <w:jc w:val="right"/>
          <w:rPr>
            <w:sz w:val="16"/>
          </w:rPr>
        </w:pPr>
        <w:r w:rsidRPr="008F0C0B">
          <w:rPr>
            <w:sz w:val="16"/>
          </w:rPr>
          <w:fldChar w:fldCharType="begin"/>
        </w:r>
        <w:r w:rsidRPr="008F0C0B">
          <w:rPr>
            <w:sz w:val="16"/>
          </w:rPr>
          <w:instrText>PAGE   \* MERGEFORMAT</w:instrText>
        </w:r>
        <w:r w:rsidRPr="008F0C0B">
          <w:rPr>
            <w:sz w:val="16"/>
          </w:rPr>
          <w:fldChar w:fldCharType="separate"/>
        </w:r>
        <w:r>
          <w:rPr>
            <w:noProof/>
            <w:sz w:val="16"/>
          </w:rPr>
          <w:t>14</w:t>
        </w:r>
        <w:r w:rsidRPr="008F0C0B">
          <w:rPr>
            <w:sz w:val="16"/>
          </w:rPr>
          <w:fldChar w:fldCharType="end"/>
        </w:r>
      </w:p>
    </w:sdtContent>
  </w:sdt>
  <w:p w:rsidR="00885DB6" w:rsidRDefault="00885DB6" w:rsidP="00E93E21">
    <w:pPr>
      <w:pStyle w:val="Piedepgina"/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9343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5DB6" w:rsidRPr="008F0C0B" w:rsidRDefault="00885DB6">
        <w:pPr>
          <w:pStyle w:val="Piedepgina"/>
          <w:jc w:val="right"/>
          <w:rPr>
            <w:sz w:val="16"/>
          </w:rPr>
        </w:pPr>
        <w:r w:rsidRPr="008F0C0B">
          <w:rPr>
            <w:sz w:val="16"/>
          </w:rPr>
          <w:fldChar w:fldCharType="begin"/>
        </w:r>
        <w:r w:rsidRPr="008F0C0B">
          <w:rPr>
            <w:sz w:val="16"/>
          </w:rPr>
          <w:instrText>PAGE   \* MERGEFORMAT</w:instrText>
        </w:r>
        <w:r w:rsidRPr="008F0C0B">
          <w:rPr>
            <w:sz w:val="16"/>
          </w:rPr>
          <w:fldChar w:fldCharType="separate"/>
        </w:r>
        <w:r w:rsidR="00FE7FDB">
          <w:rPr>
            <w:noProof/>
            <w:sz w:val="16"/>
          </w:rPr>
          <w:t>13</w:t>
        </w:r>
        <w:r w:rsidRPr="008F0C0B">
          <w:rPr>
            <w:sz w:val="16"/>
          </w:rPr>
          <w:fldChar w:fldCharType="end"/>
        </w:r>
      </w:p>
    </w:sdtContent>
  </w:sdt>
  <w:p w:rsidR="00885DB6" w:rsidRDefault="00885DB6" w:rsidP="00DC1FB4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B6" w:rsidRDefault="00885DB6" w:rsidP="006005F9">
      <w:r>
        <w:separator/>
      </w:r>
    </w:p>
    <w:p w:rsidR="00885DB6" w:rsidRDefault="00885DB6" w:rsidP="006005F9"/>
    <w:p w:rsidR="00885DB6" w:rsidRDefault="00885DB6" w:rsidP="006005F9"/>
    <w:p w:rsidR="00885DB6" w:rsidRDefault="00885DB6" w:rsidP="006005F9"/>
    <w:p w:rsidR="00885DB6" w:rsidRDefault="00885DB6" w:rsidP="006005F9"/>
  </w:footnote>
  <w:footnote w:type="continuationSeparator" w:id="0">
    <w:p w:rsidR="00885DB6" w:rsidRDefault="00885DB6" w:rsidP="006005F9">
      <w:r>
        <w:continuationSeparator/>
      </w:r>
    </w:p>
    <w:p w:rsidR="00885DB6" w:rsidRDefault="00885DB6" w:rsidP="006005F9"/>
    <w:p w:rsidR="00885DB6" w:rsidRDefault="00885DB6" w:rsidP="006005F9"/>
    <w:p w:rsidR="00885DB6" w:rsidRDefault="00885DB6" w:rsidP="006005F9"/>
    <w:p w:rsidR="00885DB6" w:rsidRDefault="00885DB6" w:rsidP="006005F9"/>
  </w:footnote>
  <w:footnote w:type="continuationNotice" w:id="1">
    <w:p w:rsidR="00885DB6" w:rsidRDefault="00885DB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3"/>
      <w:gridCol w:w="6335"/>
    </w:tblGrid>
    <w:tr w:rsidR="00885DB6" w:rsidRPr="009143C3" w:rsidTr="008F0C0B">
      <w:trPr>
        <w:trHeight w:val="835"/>
      </w:trPr>
      <w:tc>
        <w:tcPr>
          <w:tcW w:w="3163" w:type="dxa"/>
          <w:vAlign w:val="center"/>
        </w:tcPr>
        <w:p w:rsidR="00885DB6" w:rsidRPr="00602349" w:rsidRDefault="00885DB6" w:rsidP="00112ED4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15" name="Imagen 15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  <w:vAlign w:val="center"/>
        </w:tcPr>
        <w:p w:rsidR="00885DB6" w:rsidRDefault="00885DB6" w:rsidP="00112ED4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885DB6" w:rsidRPr="009143C3" w:rsidRDefault="00885DB6" w:rsidP="00112ED4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BANCO DE CAPACITORES SHUNT</w:t>
          </w:r>
        </w:p>
      </w:tc>
    </w:tr>
  </w:tbl>
  <w:p w:rsidR="00885DB6" w:rsidRPr="009143C3" w:rsidRDefault="00885DB6" w:rsidP="00EE55F5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3"/>
      <w:gridCol w:w="6335"/>
    </w:tblGrid>
    <w:tr w:rsidR="00885DB6" w:rsidRPr="009143C3" w:rsidTr="002F2CC3">
      <w:trPr>
        <w:trHeight w:val="835"/>
      </w:trPr>
      <w:tc>
        <w:tcPr>
          <w:tcW w:w="3163" w:type="dxa"/>
          <w:vAlign w:val="center"/>
        </w:tcPr>
        <w:p w:rsidR="00885DB6" w:rsidRPr="00602349" w:rsidRDefault="00885DB6" w:rsidP="00112ED4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18" name="Imagen 18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  <w:vAlign w:val="center"/>
        </w:tcPr>
        <w:p w:rsidR="00885DB6" w:rsidRDefault="00885DB6" w:rsidP="00112ED4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885DB6" w:rsidRPr="009143C3" w:rsidRDefault="00885DB6" w:rsidP="00112ED4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BANCO DE CAPACITORES SHUNT</w:t>
          </w:r>
        </w:p>
      </w:tc>
    </w:tr>
  </w:tbl>
  <w:p w:rsidR="00885DB6" w:rsidRPr="009143C3" w:rsidRDefault="00885DB6" w:rsidP="00EE55F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B6" w:rsidRDefault="00885DB6" w:rsidP="0079571C">
    <w:pPr>
      <w:pStyle w:val="Encabezado"/>
      <w:rPr>
        <w:lang w:val="es-BO"/>
      </w:rPr>
    </w:pPr>
  </w:p>
  <w:tbl>
    <w:tblPr>
      <w:tblW w:w="9498" w:type="dxa"/>
      <w:tblInd w:w="-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3"/>
      <w:gridCol w:w="6335"/>
    </w:tblGrid>
    <w:tr w:rsidR="00885DB6" w:rsidRPr="009143C3" w:rsidTr="002F2CC3">
      <w:trPr>
        <w:trHeight w:val="835"/>
      </w:trPr>
      <w:tc>
        <w:tcPr>
          <w:tcW w:w="3163" w:type="dxa"/>
          <w:vAlign w:val="center"/>
        </w:tcPr>
        <w:p w:rsidR="00885DB6" w:rsidRPr="00602349" w:rsidRDefault="00885DB6" w:rsidP="00112ED4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16" name="Imagen 16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  <w:vAlign w:val="center"/>
        </w:tcPr>
        <w:p w:rsidR="00885DB6" w:rsidRDefault="00885DB6" w:rsidP="00112ED4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885DB6" w:rsidRPr="009143C3" w:rsidRDefault="00885DB6" w:rsidP="00112ED4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BANCO DE CAPACITORES SHUNT</w:t>
          </w:r>
        </w:p>
      </w:tc>
    </w:tr>
  </w:tbl>
  <w:p w:rsidR="00885DB6" w:rsidRPr="009F03F4" w:rsidRDefault="00885DB6">
    <w:pPr>
      <w:pStyle w:val="Encabezado"/>
      <w:rPr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5D1"/>
    <w:multiLevelType w:val="hybridMultilevel"/>
    <w:tmpl w:val="299E17E4"/>
    <w:lvl w:ilvl="0" w:tplc="FBD4BC84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6F4066E">
      <w:start w:val="1"/>
      <w:numFmt w:val="bullet"/>
      <w:pStyle w:val="b"/>
      <w:lvlText w:val="-"/>
      <w:lvlJc w:val="left"/>
      <w:pPr>
        <w:tabs>
          <w:tab w:val="num" w:pos="2784"/>
        </w:tabs>
        <w:ind w:left="2784" w:hanging="570"/>
      </w:pPr>
      <w:rPr>
        <w:rFonts w:ascii="Times New Roman" w:eastAsia="Times New Roman" w:hAnsi="Times New Roman" w:cs="Times New Roman" w:hint="default"/>
      </w:rPr>
    </w:lvl>
    <w:lvl w:ilvl="2" w:tplc="9EEAF15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D5018D0"/>
    <w:multiLevelType w:val="hybridMultilevel"/>
    <w:tmpl w:val="12E09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D4A4E"/>
    <w:multiLevelType w:val="singleLevel"/>
    <w:tmpl w:val="10D8837A"/>
    <w:lvl w:ilvl="0">
      <w:start w:val="1"/>
      <w:numFmt w:val="upperRoman"/>
      <w:lvlText w:val="%1."/>
      <w:legacy w:legacy="1" w:legacySpace="0" w:legacyIndent="283"/>
      <w:lvlJc w:val="left"/>
      <w:pPr>
        <w:ind w:left="1843" w:hanging="283"/>
      </w:pPr>
    </w:lvl>
  </w:abstractNum>
  <w:abstractNum w:abstractNumId="3">
    <w:nsid w:val="37E17BEB"/>
    <w:multiLevelType w:val="hybridMultilevel"/>
    <w:tmpl w:val="2CC85D14"/>
    <w:lvl w:ilvl="0" w:tplc="4650BC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8B65A0"/>
    <w:multiLevelType w:val="hybridMultilevel"/>
    <w:tmpl w:val="D5B2AFD6"/>
    <w:lvl w:ilvl="0" w:tplc="040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46DF1AA3"/>
    <w:multiLevelType w:val="hybridMultilevel"/>
    <w:tmpl w:val="2C0C1DE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ECB1181"/>
    <w:multiLevelType w:val="hybridMultilevel"/>
    <w:tmpl w:val="3F54E956"/>
    <w:lvl w:ilvl="0" w:tplc="24869B10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F351F"/>
    <w:multiLevelType w:val="multilevel"/>
    <w:tmpl w:val="DDEE9A4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74C16A8"/>
    <w:multiLevelType w:val="hybridMultilevel"/>
    <w:tmpl w:val="C03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45D4B"/>
    <w:multiLevelType w:val="hybridMultilevel"/>
    <w:tmpl w:val="04B01AE6"/>
    <w:lvl w:ilvl="0" w:tplc="FFFFFFFF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D4C10"/>
    <w:multiLevelType w:val="hybridMultilevel"/>
    <w:tmpl w:val="72D2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09E8"/>
    <w:rsid w:val="00001FAD"/>
    <w:rsid w:val="00002300"/>
    <w:rsid w:val="000026DF"/>
    <w:rsid w:val="00003487"/>
    <w:rsid w:val="00003EB8"/>
    <w:rsid w:val="00004C1E"/>
    <w:rsid w:val="00004FE4"/>
    <w:rsid w:val="0000671E"/>
    <w:rsid w:val="000071C5"/>
    <w:rsid w:val="00007C86"/>
    <w:rsid w:val="00010DAD"/>
    <w:rsid w:val="0001415A"/>
    <w:rsid w:val="00015073"/>
    <w:rsid w:val="000159FE"/>
    <w:rsid w:val="0002157C"/>
    <w:rsid w:val="00021BB2"/>
    <w:rsid w:val="000221F9"/>
    <w:rsid w:val="00022561"/>
    <w:rsid w:val="000230DA"/>
    <w:rsid w:val="00023DF7"/>
    <w:rsid w:val="000240DE"/>
    <w:rsid w:val="00026CA2"/>
    <w:rsid w:val="000277A4"/>
    <w:rsid w:val="00027F4E"/>
    <w:rsid w:val="00030758"/>
    <w:rsid w:val="00031C4D"/>
    <w:rsid w:val="00032B77"/>
    <w:rsid w:val="00036A9A"/>
    <w:rsid w:val="00037304"/>
    <w:rsid w:val="00040719"/>
    <w:rsid w:val="0004246D"/>
    <w:rsid w:val="00042657"/>
    <w:rsid w:val="00045EE8"/>
    <w:rsid w:val="00046A42"/>
    <w:rsid w:val="00046A82"/>
    <w:rsid w:val="00047FFC"/>
    <w:rsid w:val="0005021C"/>
    <w:rsid w:val="00050C0E"/>
    <w:rsid w:val="0005146D"/>
    <w:rsid w:val="000539A0"/>
    <w:rsid w:val="000541B6"/>
    <w:rsid w:val="00054AD4"/>
    <w:rsid w:val="00056D9F"/>
    <w:rsid w:val="000606B6"/>
    <w:rsid w:val="000621E9"/>
    <w:rsid w:val="000674C4"/>
    <w:rsid w:val="00067C22"/>
    <w:rsid w:val="00067E7D"/>
    <w:rsid w:val="000701D1"/>
    <w:rsid w:val="000709B0"/>
    <w:rsid w:val="00070B91"/>
    <w:rsid w:val="00072BB4"/>
    <w:rsid w:val="00073054"/>
    <w:rsid w:val="0007407D"/>
    <w:rsid w:val="00075D84"/>
    <w:rsid w:val="00076EDD"/>
    <w:rsid w:val="000779E8"/>
    <w:rsid w:val="00080A0D"/>
    <w:rsid w:val="00081E8B"/>
    <w:rsid w:val="0008225D"/>
    <w:rsid w:val="00084ADB"/>
    <w:rsid w:val="00085F20"/>
    <w:rsid w:val="00086A33"/>
    <w:rsid w:val="000876FE"/>
    <w:rsid w:val="0008776E"/>
    <w:rsid w:val="000918BC"/>
    <w:rsid w:val="00092542"/>
    <w:rsid w:val="00092CC9"/>
    <w:rsid w:val="00093388"/>
    <w:rsid w:val="00093F68"/>
    <w:rsid w:val="00095362"/>
    <w:rsid w:val="00095849"/>
    <w:rsid w:val="00096093"/>
    <w:rsid w:val="00096CC9"/>
    <w:rsid w:val="0009745E"/>
    <w:rsid w:val="00097491"/>
    <w:rsid w:val="000A24AA"/>
    <w:rsid w:val="000A3A7F"/>
    <w:rsid w:val="000A79F0"/>
    <w:rsid w:val="000A7F84"/>
    <w:rsid w:val="000B050F"/>
    <w:rsid w:val="000B3F69"/>
    <w:rsid w:val="000B50AE"/>
    <w:rsid w:val="000B5BEC"/>
    <w:rsid w:val="000B6403"/>
    <w:rsid w:val="000C1147"/>
    <w:rsid w:val="000C1772"/>
    <w:rsid w:val="000C1E60"/>
    <w:rsid w:val="000C24C8"/>
    <w:rsid w:val="000C4224"/>
    <w:rsid w:val="000C4AE8"/>
    <w:rsid w:val="000C51D9"/>
    <w:rsid w:val="000C6F12"/>
    <w:rsid w:val="000C7646"/>
    <w:rsid w:val="000D2C96"/>
    <w:rsid w:val="000D3668"/>
    <w:rsid w:val="000D6261"/>
    <w:rsid w:val="000E0125"/>
    <w:rsid w:val="000E09D3"/>
    <w:rsid w:val="000E0A53"/>
    <w:rsid w:val="000E3423"/>
    <w:rsid w:val="000E3649"/>
    <w:rsid w:val="000E37CA"/>
    <w:rsid w:val="000E4C08"/>
    <w:rsid w:val="000E50F5"/>
    <w:rsid w:val="000E6E0C"/>
    <w:rsid w:val="000E713E"/>
    <w:rsid w:val="000E7339"/>
    <w:rsid w:val="000E752E"/>
    <w:rsid w:val="000F01B8"/>
    <w:rsid w:val="000F03A9"/>
    <w:rsid w:val="000F0B18"/>
    <w:rsid w:val="000F46AB"/>
    <w:rsid w:val="000F6167"/>
    <w:rsid w:val="000F618C"/>
    <w:rsid w:val="000F6374"/>
    <w:rsid w:val="000F667F"/>
    <w:rsid w:val="000F6C4F"/>
    <w:rsid w:val="000F6D94"/>
    <w:rsid w:val="001012F5"/>
    <w:rsid w:val="00102D4C"/>
    <w:rsid w:val="00104569"/>
    <w:rsid w:val="001053C9"/>
    <w:rsid w:val="00106C4E"/>
    <w:rsid w:val="001104D8"/>
    <w:rsid w:val="0011162D"/>
    <w:rsid w:val="001120EC"/>
    <w:rsid w:val="001121E0"/>
    <w:rsid w:val="00112ED4"/>
    <w:rsid w:val="00116FC6"/>
    <w:rsid w:val="001203AA"/>
    <w:rsid w:val="001224AA"/>
    <w:rsid w:val="00122F07"/>
    <w:rsid w:val="00123B4D"/>
    <w:rsid w:val="00125A70"/>
    <w:rsid w:val="00125EC1"/>
    <w:rsid w:val="0012625F"/>
    <w:rsid w:val="00127428"/>
    <w:rsid w:val="00127543"/>
    <w:rsid w:val="00130610"/>
    <w:rsid w:val="001312DC"/>
    <w:rsid w:val="00133569"/>
    <w:rsid w:val="001359F6"/>
    <w:rsid w:val="00135C69"/>
    <w:rsid w:val="001368A8"/>
    <w:rsid w:val="00136B7D"/>
    <w:rsid w:val="00136F7A"/>
    <w:rsid w:val="00137819"/>
    <w:rsid w:val="0014193C"/>
    <w:rsid w:val="001420E0"/>
    <w:rsid w:val="00142D43"/>
    <w:rsid w:val="00144F9A"/>
    <w:rsid w:val="00145450"/>
    <w:rsid w:val="00145A3D"/>
    <w:rsid w:val="00146C0C"/>
    <w:rsid w:val="00146CD0"/>
    <w:rsid w:val="0015035C"/>
    <w:rsid w:val="001506A1"/>
    <w:rsid w:val="001513E9"/>
    <w:rsid w:val="00151EEF"/>
    <w:rsid w:val="0015212A"/>
    <w:rsid w:val="00155249"/>
    <w:rsid w:val="0015659B"/>
    <w:rsid w:val="00160E71"/>
    <w:rsid w:val="00163397"/>
    <w:rsid w:val="00163432"/>
    <w:rsid w:val="0016476E"/>
    <w:rsid w:val="00164BC3"/>
    <w:rsid w:val="00167B9C"/>
    <w:rsid w:val="00172530"/>
    <w:rsid w:val="001725F0"/>
    <w:rsid w:val="00173910"/>
    <w:rsid w:val="00174385"/>
    <w:rsid w:val="00175277"/>
    <w:rsid w:val="00175844"/>
    <w:rsid w:val="0017768C"/>
    <w:rsid w:val="00180A52"/>
    <w:rsid w:val="00180CEA"/>
    <w:rsid w:val="001823C6"/>
    <w:rsid w:val="00182582"/>
    <w:rsid w:val="001831EE"/>
    <w:rsid w:val="00184397"/>
    <w:rsid w:val="00184458"/>
    <w:rsid w:val="001856EB"/>
    <w:rsid w:val="00186432"/>
    <w:rsid w:val="00192FF9"/>
    <w:rsid w:val="0019325C"/>
    <w:rsid w:val="00195D7A"/>
    <w:rsid w:val="00195DF2"/>
    <w:rsid w:val="001A0337"/>
    <w:rsid w:val="001A0650"/>
    <w:rsid w:val="001A08D9"/>
    <w:rsid w:val="001A15FD"/>
    <w:rsid w:val="001A4FF7"/>
    <w:rsid w:val="001A5633"/>
    <w:rsid w:val="001A5D67"/>
    <w:rsid w:val="001A787A"/>
    <w:rsid w:val="001B18AD"/>
    <w:rsid w:val="001B2CD1"/>
    <w:rsid w:val="001B3D9E"/>
    <w:rsid w:val="001B56C7"/>
    <w:rsid w:val="001C0DB5"/>
    <w:rsid w:val="001C1099"/>
    <w:rsid w:val="001C1E28"/>
    <w:rsid w:val="001C510A"/>
    <w:rsid w:val="001C5778"/>
    <w:rsid w:val="001C6C81"/>
    <w:rsid w:val="001C6D1A"/>
    <w:rsid w:val="001C704B"/>
    <w:rsid w:val="001C7ABC"/>
    <w:rsid w:val="001D0169"/>
    <w:rsid w:val="001D0343"/>
    <w:rsid w:val="001D1152"/>
    <w:rsid w:val="001D143F"/>
    <w:rsid w:val="001D34F2"/>
    <w:rsid w:val="001D7273"/>
    <w:rsid w:val="001E02EC"/>
    <w:rsid w:val="001E0AE1"/>
    <w:rsid w:val="001E0DDA"/>
    <w:rsid w:val="001E225F"/>
    <w:rsid w:val="001E5B76"/>
    <w:rsid w:val="001E749C"/>
    <w:rsid w:val="001F614B"/>
    <w:rsid w:val="001F6288"/>
    <w:rsid w:val="001F64D7"/>
    <w:rsid w:val="001F69DE"/>
    <w:rsid w:val="001F6B5B"/>
    <w:rsid w:val="001F7DDC"/>
    <w:rsid w:val="001F7EC9"/>
    <w:rsid w:val="002004D8"/>
    <w:rsid w:val="00201CB9"/>
    <w:rsid w:val="00204E9B"/>
    <w:rsid w:val="00206B5D"/>
    <w:rsid w:val="00206F42"/>
    <w:rsid w:val="002109DC"/>
    <w:rsid w:val="00211355"/>
    <w:rsid w:val="0021154F"/>
    <w:rsid w:val="002115E3"/>
    <w:rsid w:val="00212D88"/>
    <w:rsid w:val="00213E54"/>
    <w:rsid w:val="002140F0"/>
    <w:rsid w:val="002153F6"/>
    <w:rsid w:val="00217502"/>
    <w:rsid w:val="0021763C"/>
    <w:rsid w:val="00220518"/>
    <w:rsid w:val="00220799"/>
    <w:rsid w:val="00221360"/>
    <w:rsid w:val="002231C9"/>
    <w:rsid w:val="0022461E"/>
    <w:rsid w:val="0022475A"/>
    <w:rsid w:val="00224E02"/>
    <w:rsid w:val="00224EE5"/>
    <w:rsid w:val="002250CD"/>
    <w:rsid w:val="002259ED"/>
    <w:rsid w:val="00226DBB"/>
    <w:rsid w:val="00227B5C"/>
    <w:rsid w:val="00227F37"/>
    <w:rsid w:val="00234BB7"/>
    <w:rsid w:val="00236098"/>
    <w:rsid w:val="002365AB"/>
    <w:rsid w:val="0023728D"/>
    <w:rsid w:val="00237E4D"/>
    <w:rsid w:val="00240395"/>
    <w:rsid w:val="00241ABF"/>
    <w:rsid w:val="0024502F"/>
    <w:rsid w:val="002454BE"/>
    <w:rsid w:val="0025065C"/>
    <w:rsid w:val="00250BF6"/>
    <w:rsid w:val="00250C75"/>
    <w:rsid w:val="00252076"/>
    <w:rsid w:val="00252AA7"/>
    <w:rsid w:val="00254B8A"/>
    <w:rsid w:val="00256F69"/>
    <w:rsid w:val="00257040"/>
    <w:rsid w:val="00260B06"/>
    <w:rsid w:val="00260B07"/>
    <w:rsid w:val="00261C28"/>
    <w:rsid w:val="002640F4"/>
    <w:rsid w:val="00264E2E"/>
    <w:rsid w:val="00264F3A"/>
    <w:rsid w:val="0026574E"/>
    <w:rsid w:val="00265821"/>
    <w:rsid w:val="002668A0"/>
    <w:rsid w:val="00266CA1"/>
    <w:rsid w:val="00270B17"/>
    <w:rsid w:val="00271413"/>
    <w:rsid w:val="00271AAB"/>
    <w:rsid w:val="00271B6C"/>
    <w:rsid w:val="00273B90"/>
    <w:rsid w:val="00277F4D"/>
    <w:rsid w:val="00280D82"/>
    <w:rsid w:val="00280EFE"/>
    <w:rsid w:val="00282639"/>
    <w:rsid w:val="00284168"/>
    <w:rsid w:val="00284A7B"/>
    <w:rsid w:val="002864ED"/>
    <w:rsid w:val="002872D8"/>
    <w:rsid w:val="00287A64"/>
    <w:rsid w:val="0029258E"/>
    <w:rsid w:val="00292FE3"/>
    <w:rsid w:val="00293C16"/>
    <w:rsid w:val="00297A25"/>
    <w:rsid w:val="002A1CC7"/>
    <w:rsid w:val="002A2D96"/>
    <w:rsid w:val="002A3C8D"/>
    <w:rsid w:val="002A4A6C"/>
    <w:rsid w:val="002A56DB"/>
    <w:rsid w:val="002A65FF"/>
    <w:rsid w:val="002A7B07"/>
    <w:rsid w:val="002B1F50"/>
    <w:rsid w:val="002B3162"/>
    <w:rsid w:val="002B33F4"/>
    <w:rsid w:val="002B41CA"/>
    <w:rsid w:val="002B57AD"/>
    <w:rsid w:val="002B5854"/>
    <w:rsid w:val="002B6EA5"/>
    <w:rsid w:val="002B7079"/>
    <w:rsid w:val="002B7A51"/>
    <w:rsid w:val="002C1347"/>
    <w:rsid w:val="002C185C"/>
    <w:rsid w:val="002C19DD"/>
    <w:rsid w:val="002C2294"/>
    <w:rsid w:val="002C2465"/>
    <w:rsid w:val="002C2E00"/>
    <w:rsid w:val="002C42BA"/>
    <w:rsid w:val="002C49A3"/>
    <w:rsid w:val="002C5209"/>
    <w:rsid w:val="002D32B1"/>
    <w:rsid w:val="002D3395"/>
    <w:rsid w:val="002D5BD6"/>
    <w:rsid w:val="002D5EF6"/>
    <w:rsid w:val="002E0BC8"/>
    <w:rsid w:val="002E0C7F"/>
    <w:rsid w:val="002E4EA5"/>
    <w:rsid w:val="002E5A4C"/>
    <w:rsid w:val="002E6D3C"/>
    <w:rsid w:val="002F048B"/>
    <w:rsid w:val="002F197E"/>
    <w:rsid w:val="002F1BDA"/>
    <w:rsid w:val="002F2BEB"/>
    <w:rsid w:val="002F2CC3"/>
    <w:rsid w:val="002F2E0E"/>
    <w:rsid w:val="002F2F4D"/>
    <w:rsid w:val="002F3142"/>
    <w:rsid w:val="002F3860"/>
    <w:rsid w:val="002F4433"/>
    <w:rsid w:val="002F4D24"/>
    <w:rsid w:val="002F54E8"/>
    <w:rsid w:val="002F6B1A"/>
    <w:rsid w:val="003019C2"/>
    <w:rsid w:val="003021DA"/>
    <w:rsid w:val="003037D6"/>
    <w:rsid w:val="00304864"/>
    <w:rsid w:val="00304E90"/>
    <w:rsid w:val="00305330"/>
    <w:rsid w:val="00305ADB"/>
    <w:rsid w:val="0030735A"/>
    <w:rsid w:val="00307651"/>
    <w:rsid w:val="0031062A"/>
    <w:rsid w:val="003128F1"/>
    <w:rsid w:val="00313131"/>
    <w:rsid w:val="0031483F"/>
    <w:rsid w:val="00315BE8"/>
    <w:rsid w:val="00315FB0"/>
    <w:rsid w:val="00317CA3"/>
    <w:rsid w:val="00322874"/>
    <w:rsid w:val="003263A9"/>
    <w:rsid w:val="00326628"/>
    <w:rsid w:val="00327A1B"/>
    <w:rsid w:val="003308D7"/>
    <w:rsid w:val="00331291"/>
    <w:rsid w:val="003319C2"/>
    <w:rsid w:val="00332A45"/>
    <w:rsid w:val="0033456A"/>
    <w:rsid w:val="0033591F"/>
    <w:rsid w:val="00335C82"/>
    <w:rsid w:val="00335FE2"/>
    <w:rsid w:val="003361D7"/>
    <w:rsid w:val="00336425"/>
    <w:rsid w:val="00336CCE"/>
    <w:rsid w:val="00340070"/>
    <w:rsid w:val="00340A4C"/>
    <w:rsid w:val="003416DF"/>
    <w:rsid w:val="00341D46"/>
    <w:rsid w:val="00343BF7"/>
    <w:rsid w:val="00345623"/>
    <w:rsid w:val="003468D6"/>
    <w:rsid w:val="00347879"/>
    <w:rsid w:val="00354647"/>
    <w:rsid w:val="003557D7"/>
    <w:rsid w:val="0035687D"/>
    <w:rsid w:val="0035714B"/>
    <w:rsid w:val="00357B86"/>
    <w:rsid w:val="00360267"/>
    <w:rsid w:val="003627D5"/>
    <w:rsid w:val="00363934"/>
    <w:rsid w:val="0036743E"/>
    <w:rsid w:val="00371C7D"/>
    <w:rsid w:val="00373393"/>
    <w:rsid w:val="00374AC5"/>
    <w:rsid w:val="003756E8"/>
    <w:rsid w:val="0037741D"/>
    <w:rsid w:val="00377E90"/>
    <w:rsid w:val="00380D29"/>
    <w:rsid w:val="00381F7B"/>
    <w:rsid w:val="00382413"/>
    <w:rsid w:val="003903FB"/>
    <w:rsid w:val="0039255B"/>
    <w:rsid w:val="0039305A"/>
    <w:rsid w:val="003945E0"/>
    <w:rsid w:val="00395051"/>
    <w:rsid w:val="003957B4"/>
    <w:rsid w:val="003958C8"/>
    <w:rsid w:val="00395D7A"/>
    <w:rsid w:val="003964C2"/>
    <w:rsid w:val="00396540"/>
    <w:rsid w:val="003A0490"/>
    <w:rsid w:val="003A060F"/>
    <w:rsid w:val="003A0D85"/>
    <w:rsid w:val="003A2C9E"/>
    <w:rsid w:val="003A5A3D"/>
    <w:rsid w:val="003B030A"/>
    <w:rsid w:val="003B161E"/>
    <w:rsid w:val="003B2221"/>
    <w:rsid w:val="003B646F"/>
    <w:rsid w:val="003B7E4B"/>
    <w:rsid w:val="003C118D"/>
    <w:rsid w:val="003C1D4C"/>
    <w:rsid w:val="003C1E36"/>
    <w:rsid w:val="003C4170"/>
    <w:rsid w:val="003C472F"/>
    <w:rsid w:val="003C50D1"/>
    <w:rsid w:val="003C5917"/>
    <w:rsid w:val="003D05B7"/>
    <w:rsid w:val="003D0699"/>
    <w:rsid w:val="003D2DFC"/>
    <w:rsid w:val="003D3937"/>
    <w:rsid w:val="003E0797"/>
    <w:rsid w:val="003E0D30"/>
    <w:rsid w:val="003E2CD9"/>
    <w:rsid w:val="003E4ABD"/>
    <w:rsid w:val="003E5803"/>
    <w:rsid w:val="003E5A45"/>
    <w:rsid w:val="003E6B07"/>
    <w:rsid w:val="003F078F"/>
    <w:rsid w:val="003F11F1"/>
    <w:rsid w:val="003F1DF1"/>
    <w:rsid w:val="003F2E59"/>
    <w:rsid w:val="003F3C7F"/>
    <w:rsid w:val="003F460A"/>
    <w:rsid w:val="003F4662"/>
    <w:rsid w:val="003F791D"/>
    <w:rsid w:val="003F7BAB"/>
    <w:rsid w:val="00405EFA"/>
    <w:rsid w:val="0041003E"/>
    <w:rsid w:val="0041042C"/>
    <w:rsid w:val="004125B8"/>
    <w:rsid w:val="00412C16"/>
    <w:rsid w:val="0041308A"/>
    <w:rsid w:val="0041311E"/>
    <w:rsid w:val="004150BB"/>
    <w:rsid w:val="004151A8"/>
    <w:rsid w:val="00415486"/>
    <w:rsid w:val="00415815"/>
    <w:rsid w:val="004173A2"/>
    <w:rsid w:val="00420D84"/>
    <w:rsid w:val="00422066"/>
    <w:rsid w:val="00423D2B"/>
    <w:rsid w:val="00424836"/>
    <w:rsid w:val="004306BE"/>
    <w:rsid w:val="004308D1"/>
    <w:rsid w:val="00432F38"/>
    <w:rsid w:val="00433A57"/>
    <w:rsid w:val="00433CDF"/>
    <w:rsid w:val="00433FB4"/>
    <w:rsid w:val="00435FBA"/>
    <w:rsid w:val="00436371"/>
    <w:rsid w:val="00437B42"/>
    <w:rsid w:val="00441B13"/>
    <w:rsid w:val="00443F54"/>
    <w:rsid w:val="00445998"/>
    <w:rsid w:val="00447F80"/>
    <w:rsid w:val="004515E1"/>
    <w:rsid w:val="00454795"/>
    <w:rsid w:val="004564A9"/>
    <w:rsid w:val="00456D35"/>
    <w:rsid w:val="00456DEF"/>
    <w:rsid w:val="0045716D"/>
    <w:rsid w:val="00460E5D"/>
    <w:rsid w:val="0046142C"/>
    <w:rsid w:val="00461DF1"/>
    <w:rsid w:val="0046346F"/>
    <w:rsid w:val="00465674"/>
    <w:rsid w:val="0046714B"/>
    <w:rsid w:val="00467F7B"/>
    <w:rsid w:val="0047347B"/>
    <w:rsid w:val="004736BD"/>
    <w:rsid w:val="00474883"/>
    <w:rsid w:val="0047609D"/>
    <w:rsid w:val="004772E2"/>
    <w:rsid w:val="00480BEA"/>
    <w:rsid w:val="0048229A"/>
    <w:rsid w:val="00482B46"/>
    <w:rsid w:val="00483992"/>
    <w:rsid w:val="00483C3C"/>
    <w:rsid w:val="004845AC"/>
    <w:rsid w:val="00484DDA"/>
    <w:rsid w:val="00485228"/>
    <w:rsid w:val="004852DD"/>
    <w:rsid w:val="00486927"/>
    <w:rsid w:val="00486E37"/>
    <w:rsid w:val="0048740B"/>
    <w:rsid w:val="00490578"/>
    <w:rsid w:val="00491B35"/>
    <w:rsid w:val="00494BEB"/>
    <w:rsid w:val="0049633D"/>
    <w:rsid w:val="0049685D"/>
    <w:rsid w:val="004971FF"/>
    <w:rsid w:val="00497E3A"/>
    <w:rsid w:val="004A15FE"/>
    <w:rsid w:val="004A33C9"/>
    <w:rsid w:val="004A3B33"/>
    <w:rsid w:val="004A471A"/>
    <w:rsid w:val="004A7CA5"/>
    <w:rsid w:val="004B0BA6"/>
    <w:rsid w:val="004B31BA"/>
    <w:rsid w:val="004B45D7"/>
    <w:rsid w:val="004B5B69"/>
    <w:rsid w:val="004B66D1"/>
    <w:rsid w:val="004C1C22"/>
    <w:rsid w:val="004C4AAF"/>
    <w:rsid w:val="004C50CD"/>
    <w:rsid w:val="004D042F"/>
    <w:rsid w:val="004D1141"/>
    <w:rsid w:val="004D1A10"/>
    <w:rsid w:val="004D1D91"/>
    <w:rsid w:val="004D2447"/>
    <w:rsid w:val="004D26EA"/>
    <w:rsid w:val="004D30F9"/>
    <w:rsid w:val="004D4545"/>
    <w:rsid w:val="004E0B9C"/>
    <w:rsid w:val="004E14A2"/>
    <w:rsid w:val="004E1C92"/>
    <w:rsid w:val="004E1E17"/>
    <w:rsid w:val="004E3103"/>
    <w:rsid w:val="004E59A0"/>
    <w:rsid w:val="004E6404"/>
    <w:rsid w:val="004E7BDD"/>
    <w:rsid w:val="004F0912"/>
    <w:rsid w:val="004F1BDC"/>
    <w:rsid w:val="004F3B9B"/>
    <w:rsid w:val="004F70AB"/>
    <w:rsid w:val="005027B4"/>
    <w:rsid w:val="0050427E"/>
    <w:rsid w:val="00504722"/>
    <w:rsid w:val="00504821"/>
    <w:rsid w:val="00505F04"/>
    <w:rsid w:val="0050716E"/>
    <w:rsid w:val="00507E04"/>
    <w:rsid w:val="00507EFE"/>
    <w:rsid w:val="00510FCC"/>
    <w:rsid w:val="00511717"/>
    <w:rsid w:val="005126F0"/>
    <w:rsid w:val="00515618"/>
    <w:rsid w:val="00520A8D"/>
    <w:rsid w:val="00521085"/>
    <w:rsid w:val="005219DB"/>
    <w:rsid w:val="005221B1"/>
    <w:rsid w:val="00523BD0"/>
    <w:rsid w:val="0052424B"/>
    <w:rsid w:val="005249E9"/>
    <w:rsid w:val="005255EE"/>
    <w:rsid w:val="00525FE5"/>
    <w:rsid w:val="00526575"/>
    <w:rsid w:val="005274E4"/>
    <w:rsid w:val="0053092F"/>
    <w:rsid w:val="00531D74"/>
    <w:rsid w:val="00532D24"/>
    <w:rsid w:val="00537688"/>
    <w:rsid w:val="00540237"/>
    <w:rsid w:val="00540A46"/>
    <w:rsid w:val="00540BCA"/>
    <w:rsid w:val="00542081"/>
    <w:rsid w:val="00542A70"/>
    <w:rsid w:val="0054348A"/>
    <w:rsid w:val="00543B58"/>
    <w:rsid w:val="00545422"/>
    <w:rsid w:val="0054570D"/>
    <w:rsid w:val="00545B24"/>
    <w:rsid w:val="00547050"/>
    <w:rsid w:val="005515D7"/>
    <w:rsid w:val="005523D7"/>
    <w:rsid w:val="00552A92"/>
    <w:rsid w:val="00552CC3"/>
    <w:rsid w:val="00553A55"/>
    <w:rsid w:val="0055410B"/>
    <w:rsid w:val="0055601B"/>
    <w:rsid w:val="00556EC4"/>
    <w:rsid w:val="005573C6"/>
    <w:rsid w:val="005605C7"/>
    <w:rsid w:val="005605D4"/>
    <w:rsid w:val="00561B11"/>
    <w:rsid w:val="00562BF4"/>
    <w:rsid w:val="00562C92"/>
    <w:rsid w:val="005639F2"/>
    <w:rsid w:val="00563B3E"/>
    <w:rsid w:val="00564581"/>
    <w:rsid w:val="00564A23"/>
    <w:rsid w:val="00564AA6"/>
    <w:rsid w:val="00564B25"/>
    <w:rsid w:val="00565EEB"/>
    <w:rsid w:val="005667EF"/>
    <w:rsid w:val="005716D9"/>
    <w:rsid w:val="005738FB"/>
    <w:rsid w:val="005743C0"/>
    <w:rsid w:val="005748FC"/>
    <w:rsid w:val="0057516B"/>
    <w:rsid w:val="00575E62"/>
    <w:rsid w:val="00577118"/>
    <w:rsid w:val="00577F96"/>
    <w:rsid w:val="005838D9"/>
    <w:rsid w:val="00583958"/>
    <w:rsid w:val="00584B46"/>
    <w:rsid w:val="00584C12"/>
    <w:rsid w:val="00584DCD"/>
    <w:rsid w:val="00587425"/>
    <w:rsid w:val="005907A8"/>
    <w:rsid w:val="00594BD9"/>
    <w:rsid w:val="00595222"/>
    <w:rsid w:val="00596729"/>
    <w:rsid w:val="00596AE4"/>
    <w:rsid w:val="005972AF"/>
    <w:rsid w:val="00597CF1"/>
    <w:rsid w:val="005A01D3"/>
    <w:rsid w:val="005A08B8"/>
    <w:rsid w:val="005A1EB9"/>
    <w:rsid w:val="005A22B9"/>
    <w:rsid w:val="005A2E81"/>
    <w:rsid w:val="005A4727"/>
    <w:rsid w:val="005A4B18"/>
    <w:rsid w:val="005A756A"/>
    <w:rsid w:val="005B3E17"/>
    <w:rsid w:val="005B4FF6"/>
    <w:rsid w:val="005B78AB"/>
    <w:rsid w:val="005C1284"/>
    <w:rsid w:val="005C2ED0"/>
    <w:rsid w:val="005C42C2"/>
    <w:rsid w:val="005C53B3"/>
    <w:rsid w:val="005C5A2B"/>
    <w:rsid w:val="005C5F13"/>
    <w:rsid w:val="005C7E02"/>
    <w:rsid w:val="005C7E4F"/>
    <w:rsid w:val="005D0B16"/>
    <w:rsid w:val="005D0D55"/>
    <w:rsid w:val="005D3347"/>
    <w:rsid w:val="005D36F0"/>
    <w:rsid w:val="005D5B9F"/>
    <w:rsid w:val="005D6C2E"/>
    <w:rsid w:val="005E4CB7"/>
    <w:rsid w:val="005E5854"/>
    <w:rsid w:val="005E65C9"/>
    <w:rsid w:val="005E6CB1"/>
    <w:rsid w:val="005F0BEC"/>
    <w:rsid w:val="005F0CC0"/>
    <w:rsid w:val="005F1BCB"/>
    <w:rsid w:val="005F5EA0"/>
    <w:rsid w:val="005F7454"/>
    <w:rsid w:val="006005F9"/>
    <w:rsid w:val="00600633"/>
    <w:rsid w:val="00601044"/>
    <w:rsid w:val="00601385"/>
    <w:rsid w:val="00602349"/>
    <w:rsid w:val="006025EE"/>
    <w:rsid w:val="00602965"/>
    <w:rsid w:val="00604D55"/>
    <w:rsid w:val="00605412"/>
    <w:rsid w:val="006057CC"/>
    <w:rsid w:val="00605AA1"/>
    <w:rsid w:val="00607AF5"/>
    <w:rsid w:val="0061089C"/>
    <w:rsid w:val="00611B9B"/>
    <w:rsid w:val="00611F8F"/>
    <w:rsid w:val="00616FFE"/>
    <w:rsid w:val="0062136A"/>
    <w:rsid w:val="00621372"/>
    <w:rsid w:val="00621FEF"/>
    <w:rsid w:val="0062230F"/>
    <w:rsid w:val="00624C39"/>
    <w:rsid w:val="00624C3F"/>
    <w:rsid w:val="0062633D"/>
    <w:rsid w:val="00630DB7"/>
    <w:rsid w:val="00631095"/>
    <w:rsid w:val="00631C55"/>
    <w:rsid w:val="00632C35"/>
    <w:rsid w:val="00632E2B"/>
    <w:rsid w:val="0063325D"/>
    <w:rsid w:val="006334BB"/>
    <w:rsid w:val="00633A5E"/>
    <w:rsid w:val="00634A6B"/>
    <w:rsid w:val="00634B1B"/>
    <w:rsid w:val="00635E43"/>
    <w:rsid w:val="00635EE4"/>
    <w:rsid w:val="00636DD7"/>
    <w:rsid w:val="0063768A"/>
    <w:rsid w:val="006418F0"/>
    <w:rsid w:val="006451B9"/>
    <w:rsid w:val="006457AB"/>
    <w:rsid w:val="00645AEB"/>
    <w:rsid w:val="006472BC"/>
    <w:rsid w:val="0064759F"/>
    <w:rsid w:val="00647806"/>
    <w:rsid w:val="00647C79"/>
    <w:rsid w:val="00647F3B"/>
    <w:rsid w:val="00647F9C"/>
    <w:rsid w:val="00650A0A"/>
    <w:rsid w:val="006516E6"/>
    <w:rsid w:val="00653E17"/>
    <w:rsid w:val="00654488"/>
    <w:rsid w:val="00655791"/>
    <w:rsid w:val="0065623E"/>
    <w:rsid w:val="00656D5E"/>
    <w:rsid w:val="00660395"/>
    <w:rsid w:val="00663A02"/>
    <w:rsid w:val="006640F9"/>
    <w:rsid w:val="006649E1"/>
    <w:rsid w:val="00666A7C"/>
    <w:rsid w:val="00667582"/>
    <w:rsid w:val="00667A5F"/>
    <w:rsid w:val="00667C75"/>
    <w:rsid w:val="00670D3B"/>
    <w:rsid w:val="00672E42"/>
    <w:rsid w:val="0067585E"/>
    <w:rsid w:val="00675C9D"/>
    <w:rsid w:val="00676384"/>
    <w:rsid w:val="006763AF"/>
    <w:rsid w:val="00677271"/>
    <w:rsid w:val="006821EF"/>
    <w:rsid w:val="0068483C"/>
    <w:rsid w:val="006857F8"/>
    <w:rsid w:val="0069274E"/>
    <w:rsid w:val="006932DA"/>
    <w:rsid w:val="006941D7"/>
    <w:rsid w:val="006965D8"/>
    <w:rsid w:val="0069770F"/>
    <w:rsid w:val="006A05B0"/>
    <w:rsid w:val="006A0CDA"/>
    <w:rsid w:val="006A2EDA"/>
    <w:rsid w:val="006A31A2"/>
    <w:rsid w:val="006A5271"/>
    <w:rsid w:val="006A5D28"/>
    <w:rsid w:val="006A6073"/>
    <w:rsid w:val="006A667F"/>
    <w:rsid w:val="006A785F"/>
    <w:rsid w:val="006B1E71"/>
    <w:rsid w:val="006B29BE"/>
    <w:rsid w:val="006B38D9"/>
    <w:rsid w:val="006B3D91"/>
    <w:rsid w:val="006B78F9"/>
    <w:rsid w:val="006C0317"/>
    <w:rsid w:val="006C0BE1"/>
    <w:rsid w:val="006C2969"/>
    <w:rsid w:val="006C3ADE"/>
    <w:rsid w:val="006C3E89"/>
    <w:rsid w:val="006C4E5E"/>
    <w:rsid w:val="006C50CC"/>
    <w:rsid w:val="006C582A"/>
    <w:rsid w:val="006C58B5"/>
    <w:rsid w:val="006C73D9"/>
    <w:rsid w:val="006D0A3E"/>
    <w:rsid w:val="006D1DDE"/>
    <w:rsid w:val="006D2E69"/>
    <w:rsid w:val="006D3B54"/>
    <w:rsid w:val="006D5A6C"/>
    <w:rsid w:val="006D6494"/>
    <w:rsid w:val="006E11BB"/>
    <w:rsid w:val="006E16D5"/>
    <w:rsid w:val="006E1813"/>
    <w:rsid w:val="006E35E2"/>
    <w:rsid w:val="006E459E"/>
    <w:rsid w:val="006E6051"/>
    <w:rsid w:val="006E643E"/>
    <w:rsid w:val="006F123E"/>
    <w:rsid w:val="006F28D4"/>
    <w:rsid w:val="006F3F14"/>
    <w:rsid w:val="006F5226"/>
    <w:rsid w:val="006F65F4"/>
    <w:rsid w:val="00700214"/>
    <w:rsid w:val="00700918"/>
    <w:rsid w:val="00700C1E"/>
    <w:rsid w:val="00702865"/>
    <w:rsid w:val="00702E4F"/>
    <w:rsid w:val="00703AD1"/>
    <w:rsid w:val="00704130"/>
    <w:rsid w:val="00704D88"/>
    <w:rsid w:val="007050A1"/>
    <w:rsid w:val="00705B18"/>
    <w:rsid w:val="007064B4"/>
    <w:rsid w:val="0070721A"/>
    <w:rsid w:val="00710D33"/>
    <w:rsid w:val="00710F6E"/>
    <w:rsid w:val="00711460"/>
    <w:rsid w:val="007119E2"/>
    <w:rsid w:val="00711CB2"/>
    <w:rsid w:val="0071240F"/>
    <w:rsid w:val="00712E82"/>
    <w:rsid w:val="00716705"/>
    <w:rsid w:val="0071728C"/>
    <w:rsid w:val="00720B30"/>
    <w:rsid w:val="00720CCC"/>
    <w:rsid w:val="00720E41"/>
    <w:rsid w:val="00723399"/>
    <w:rsid w:val="007237D1"/>
    <w:rsid w:val="007241AE"/>
    <w:rsid w:val="007255F2"/>
    <w:rsid w:val="00725AD7"/>
    <w:rsid w:val="00726C2D"/>
    <w:rsid w:val="00727516"/>
    <w:rsid w:val="007308E6"/>
    <w:rsid w:val="00731204"/>
    <w:rsid w:val="007316C6"/>
    <w:rsid w:val="007317B7"/>
    <w:rsid w:val="00733C8A"/>
    <w:rsid w:val="00737B49"/>
    <w:rsid w:val="007431DF"/>
    <w:rsid w:val="0074631C"/>
    <w:rsid w:val="007472A0"/>
    <w:rsid w:val="00752FD5"/>
    <w:rsid w:val="0075594C"/>
    <w:rsid w:val="007559CC"/>
    <w:rsid w:val="007605B4"/>
    <w:rsid w:val="00761290"/>
    <w:rsid w:val="00762C26"/>
    <w:rsid w:val="00772EC2"/>
    <w:rsid w:val="0078170F"/>
    <w:rsid w:val="00781895"/>
    <w:rsid w:val="007818CC"/>
    <w:rsid w:val="00782CF4"/>
    <w:rsid w:val="00783239"/>
    <w:rsid w:val="007845C1"/>
    <w:rsid w:val="007917C0"/>
    <w:rsid w:val="0079251E"/>
    <w:rsid w:val="00792E46"/>
    <w:rsid w:val="0079571C"/>
    <w:rsid w:val="00796090"/>
    <w:rsid w:val="007970C3"/>
    <w:rsid w:val="007A3F36"/>
    <w:rsid w:val="007A40A5"/>
    <w:rsid w:val="007A4FF3"/>
    <w:rsid w:val="007A6863"/>
    <w:rsid w:val="007A6F66"/>
    <w:rsid w:val="007A7C38"/>
    <w:rsid w:val="007B036F"/>
    <w:rsid w:val="007B0439"/>
    <w:rsid w:val="007B1180"/>
    <w:rsid w:val="007B17BA"/>
    <w:rsid w:val="007B56AC"/>
    <w:rsid w:val="007B62D8"/>
    <w:rsid w:val="007B7526"/>
    <w:rsid w:val="007C1249"/>
    <w:rsid w:val="007C32CC"/>
    <w:rsid w:val="007C5118"/>
    <w:rsid w:val="007C536A"/>
    <w:rsid w:val="007C5793"/>
    <w:rsid w:val="007C6C7B"/>
    <w:rsid w:val="007D196B"/>
    <w:rsid w:val="007D3AF3"/>
    <w:rsid w:val="007D64D8"/>
    <w:rsid w:val="007D6E74"/>
    <w:rsid w:val="007D7E74"/>
    <w:rsid w:val="007D7F29"/>
    <w:rsid w:val="007E0DBE"/>
    <w:rsid w:val="007E27BF"/>
    <w:rsid w:val="007E6FD3"/>
    <w:rsid w:val="007E7C47"/>
    <w:rsid w:val="007F056D"/>
    <w:rsid w:val="007F0907"/>
    <w:rsid w:val="007F14A1"/>
    <w:rsid w:val="007F2CC6"/>
    <w:rsid w:val="007F43A8"/>
    <w:rsid w:val="007F59A7"/>
    <w:rsid w:val="008018E9"/>
    <w:rsid w:val="00801D5A"/>
    <w:rsid w:val="0080219B"/>
    <w:rsid w:val="00803870"/>
    <w:rsid w:val="00803EF8"/>
    <w:rsid w:val="008042B1"/>
    <w:rsid w:val="0080432E"/>
    <w:rsid w:val="00806A17"/>
    <w:rsid w:val="00806AA7"/>
    <w:rsid w:val="00806E4C"/>
    <w:rsid w:val="008077DB"/>
    <w:rsid w:val="00807B85"/>
    <w:rsid w:val="00807F9D"/>
    <w:rsid w:val="0081238B"/>
    <w:rsid w:val="00813138"/>
    <w:rsid w:val="008136D8"/>
    <w:rsid w:val="008136F3"/>
    <w:rsid w:val="00814713"/>
    <w:rsid w:val="008154B9"/>
    <w:rsid w:val="00815DF9"/>
    <w:rsid w:val="008168F0"/>
    <w:rsid w:val="0082019E"/>
    <w:rsid w:val="00820620"/>
    <w:rsid w:val="008211A4"/>
    <w:rsid w:val="00821B96"/>
    <w:rsid w:val="00824275"/>
    <w:rsid w:val="00824CCC"/>
    <w:rsid w:val="008254C2"/>
    <w:rsid w:val="00830637"/>
    <w:rsid w:val="00830E2A"/>
    <w:rsid w:val="0083108F"/>
    <w:rsid w:val="00831223"/>
    <w:rsid w:val="0083151A"/>
    <w:rsid w:val="00831525"/>
    <w:rsid w:val="0083162C"/>
    <w:rsid w:val="00832500"/>
    <w:rsid w:val="008325EF"/>
    <w:rsid w:val="0083428A"/>
    <w:rsid w:val="00836498"/>
    <w:rsid w:val="00836A9A"/>
    <w:rsid w:val="00837879"/>
    <w:rsid w:val="00837F57"/>
    <w:rsid w:val="008409FE"/>
    <w:rsid w:val="00841116"/>
    <w:rsid w:val="00841CBA"/>
    <w:rsid w:val="00842424"/>
    <w:rsid w:val="00845664"/>
    <w:rsid w:val="00845AF0"/>
    <w:rsid w:val="00847023"/>
    <w:rsid w:val="00851FD3"/>
    <w:rsid w:val="00853047"/>
    <w:rsid w:val="00853810"/>
    <w:rsid w:val="0085672D"/>
    <w:rsid w:val="00856CAA"/>
    <w:rsid w:val="008576D4"/>
    <w:rsid w:val="008604FC"/>
    <w:rsid w:val="00861150"/>
    <w:rsid w:val="00861A09"/>
    <w:rsid w:val="00862B0E"/>
    <w:rsid w:val="008631C5"/>
    <w:rsid w:val="0086440D"/>
    <w:rsid w:val="00864B95"/>
    <w:rsid w:val="008660BA"/>
    <w:rsid w:val="00866238"/>
    <w:rsid w:val="00875634"/>
    <w:rsid w:val="00875FE0"/>
    <w:rsid w:val="0087734E"/>
    <w:rsid w:val="00877AB1"/>
    <w:rsid w:val="00880024"/>
    <w:rsid w:val="0088058F"/>
    <w:rsid w:val="00882AA3"/>
    <w:rsid w:val="0088527F"/>
    <w:rsid w:val="00885A42"/>
    <w:rsid w:val="00885DB6"/>
    <w:rsid w:val="00886B32"/>
    <w:rsid w:val="00886F15"/>
    <w:rsid w:val="00890794"/>
    <w:rsid w:val="0089463C"/>
    <w:rsid w:val="00894B2F"/>
    <w:rsid w:val="00894D15"/>
    <w:rsid w:val="008956F9"/>
    <w:rsid w:val="008964CD"/>
    <w:rsid w:val="00896978"/>
    <w:rsid w:val="008A0339"/>
    <w:rsid w:val="008A0FF9"/>
    <w:rsid w:val="008A103A"/>
    <w:rsid w:val="008A1059"/>
    <w:rsid w:val="008A2A7A"/>
    <w:rsid w:val="008A2D6B"/>
    <w:rsid w:val="008A499B"/>
    <w:rsid w:val="008A5DA2"/>
    <w:rsid w:val="008A7420"/>
    <w:rsid w:val="008B0D53"/>
    <w:rsid w:val="008B167E"/>
    <w:rsid w:val="008B2E9B"/>
    <w:rsid w:val="008B32D6"/>
    <w:rsid w:val="008B3C0D"/>
    <w:rsid w:val="008B5164"/>
    <w:rsid w:val="008B7098"/>
    <w:rsid w:val="008B7F02"/>
    <w:rsid w:val="008C1B35"/>
    <w:rsid w:val="008C1E76"/>
    <w:rsid w:val="008C27A2"/>
    <w:rsid w:val="008C4929"/>
    <w:rsid w:val="008C515C"/>
    <w:rsid w:val="008C58BB"/>
    <w:rsid w:val="008C5E0D"/>
    <w:rsid w:val="008C7C38"/>
    <w:rsid w:val="008D0AF1"/>
    <w:rsid w:val="008D0BA9"/>
    <w:rsid w:val="008D1E5F"/>
    <w:rsid w:val="008D3348"/>
    <w:rsid w:val="008D66FC"/>
    <w:rsid w:val="008D71C0"/>
    <w:rsid w:val="008D7BCF"/>
    <w:rsid w:val="008E00CE"/>
    <w:rsid w:val="008E01C5"/>
    <w:rsid w:val="008E1ED5"/>
    <w:rsid w:val="008E3B08"/>
    <w:rsid w:val="008E3EAF"/>
    <w:rsid w:val="008E40C0"/>
    <w:rsid w:val="008E57DA"/>
    <w:rsid w:val="008F0C0B"/>
    <w:rsid w:val="008F1243"/>
    <w:rsid w:val="008F37DB"/>
    <w:rsid w:val="008F5D4F"/>
    <w:rsid w:val="008F632B"/>
    <w:rsid w:val="008F7BD8"/>
    <w:rsid w:val="0090109F"/>
    <w:rsid w:val="009016D7"/>
    <w:rsid w:val="00901DC9"/>
    <w:rsid w:val="00903C8D"/>
    <w:rsid w:val="0090404C"/>
    <w:rsid w:val="00904679"/>
    <w:rsid w:val="0090602E"/>
    <w:rsid w:val="00907039"/>
    <w:rsid w:val="00910130"/>
    <w:rsid w:val="00910EA5"/>
    <w:rsid w:val="00912848"/>
    <w:rsid w:val="00913964"/>
    <w:rsid w:val="009140AF"/>
    <w:rsid w:val="009143C3"/>
    <w:rsid w:val="00916A0E"/>
    <w:rsid w:val="00916EF8"/>
    <w:rsid w:val="009171C2"/>
    <w:rsid w:val="009207F2"/>
    <w:rsid w:val="00921EAC"/>
    <w:rsid w:val="00922A1F"/>
    <w:rsid w:val="0092309C"/>
    <w:rsid w:val="009230E1"/>
    <w:rsid w:val="009241E7"/>
    <w:rsid w:val="0092522E"/>
    <w:rsid w:val="00926203"/>
    <w:rsid w:val="00926D1C"/>
    <w:rsid w:val="0093079D"/>
    <w:rsid w:val="00930D2E"/>
    <w:rsid w:val="00931A8C"/>
    <w:rsid w:val="0093326D"/>
    <w:rsid w:val="00933562"/>
    <w:rsid w:val="00933567"/>
    <w:rsid w:val="00933AF3"/>
    <w:rsid w:val="00934D4E"/>
    <w:rsid w:val="00940A08"/>
    <w:rsid w:val="00942E35"/>
    <w:rsid w:val="0094591F"/>
    <w:rsid w:val="009459CB"/>
    <w:rsid w:val="00946353"/>
    <w:rsid w:val="00947F82"/>
    <w:rsid w:val="00951C4D"/>
    <w:rsid w:val="0095616E"/>
    <w:rsid w:val="00956E98"/>
    <w:rsid w:val="00957EF4"/>
    <w:rsid w:val="009601E3"/>
    <w:rsid w:val="009610CC"/>
    <w:rsid w:val="00963292"/>
    <w:rsid w:val="00967B6B"/>
    <w:rsid w:val="00967EAD"/>
    <w:rsid w:val="00967EDD"/>
    <w:rsid w:val="00970711"/>
    <w:rsid w:val="00971B81"/>
    <w:rsid w:val="00972519"/>
    <w:rsid w:val="0097255E"/>
    <w:rsid w:val="0097358D"/>
    <w:rsid w:val="00973A39"/>
    <w:rsid w:val="00974B5E"/>
    <w:rsid w:val="0097509F"/>
    <w:rsid w:val="00975862"/>
    <w:rsid w:val="0097645C"/>
    <w:rsid w:val="009772E0"/>
    <w:rsid w:val="0097770E"/>
    <w:rsid w:val="00977B02"/>
    <w:rsid w:val="00981963"/>
    <w:rsid w:val="0098395E"/>
    <w:rsid w:val="0098596E"/>
    <w:rsid w:val="009859EB"/>
    <w:rsid w:val="009874F9"/>
    <w:rsid w:val="0098774E"/>
    <w:rsid w:val="00990DE9"/>
    <w:rsid w:val="00992EBF"/>
    <w:rsid w:val="00993849"/>
    <w:rsid w:val="00993D51"/>
    <w:rsid w:val="00994286"/>
    <w:rsid w:val="00994EE5"/>
    <w:rsid w:val="009961EC"/>
    <w:rsid w:val="009967DB"/>
    <w:rsid w:val="0099721C"/>
    <w:rsid w:val="009978E4"/>
    <w:rsid w:val="00997BF2"/>
    <w:rsid w:val="00997C20"/>
    <w:rsid w:val="009A1DA0"/>
    <w:rsid w:val="009A227B"/>
    <w:rsid w:val="009A26C6"/>
    <w:rsid w:val="009A505F"/>
    <w:rsid w:val="009A57C1"/>
    <w:rsid w:val="009A63CB"/>
    <w:rsid w:val="009A6AFA"/>
    <w:rsid w:val="009B097D"/>
    <w:rsid w:val="009B4E03"/>
    <w:rsid w:val="009B5E82"/>
    <w:rsid w:val="009B6C69"/>
    <w:rsid w:val="009C3473"/>
    <w:rsid w:val="009C34F3"/>
    <w:rsid w:val="009C4155"/>
    <w:rsid w:val="009C4700"/>
    <w:rsid w:val="009C6D15"/>
    <w:rsid w:val="009C6D20"/>
    <w:rsid w:val="009C6EA7"/>
    <w:rsid w:val="009C7AC6"/>
    <w:rsid w:val="009D2D5B"/>
    <w:rsid w:val="009D59B7"/>
    <w:rsid w:val="009D6164"/>
    <w:rsid w:val="009D7515"/>
    <w:rsid w:val="009D7559"/>
    <w:rsid w:val="009D7B6F"/>
    <w:rsid w:val="009E04FD"/>
    <w:rsid w:val="009E0B51"/>
    <w:rsid w:val="009E5B9A"/>
    <w:rsid w:val="009E5EA7"/>
    <w:rsid w:val="009E7A47"/>
    <w:rsid w:val="009E7D72"/>
    <w:rsid w:val="009E7DF5"/>
    <w:rsid w:val="009F0FFC"/>
    <w:rsid w:val="009F20DC"/>
    <w:rsid w:val="009F2407"/>
    <w:rsid w:val="009F4F60"/>
    <w:rsid w:val="009F75DC"/>
    <w:rsid w:val="00A011DB"/>
    <w:rsid w:val="00A0264E"/>
    <w:rsid w:val="00A03288"/>
    <w:rsid w:val="00A03C94"/>
    <w:rsid w:val="00A0746D"/>
    <w:rsid w:val="00A07F91"/>
    <w:rsid w:val="00A12FAF"/>
    <w:rsid w:val="00A132B0"/>
    <w:rsid w:val="00A13F6A"/>
    <w:rsid w:val="00A150A8"/>
    <w:rsid w:val="00A153B9"/>
    <w:rsid w:val="00A15E6C"/>
    <w:rsid w:val="00A16623"/>
    <w:rsid w:val="00A17C89"/>
    <w:rsid w:val="00A21096"/>
    <w:rsid w:val="00A212A5"/>
    <w:rsid w:val="00A21685"/>
    <w:rsid w:val="00A2340C"/>
    <w:rsid w:val="00A23A35"/>
    <w:rsid w:val="00A23EB3"/>
    <w:rsid w:val="00A24E51"/>
    <w:rsid w:val="00A267F6"/>
    <w:rsid w:val="00A267FE"/>
    <w:rsid w:val="00A27713"/>
    <w:rsid w:val="00A30771"/>
    <w:rsid w:val="00A31625"/>
    <w:rsid w:val="00A33E26"/>
    <w:rsid w:val="00A33E44"/>
    <w:rsid w:val="00A343B6"/>
    <w:rsid w:val="00A3526B"/>
    <w:rsid w:val="00A37728"/>
    <w:rsid w:val="00A37E16"/>
    <w:rsid w:val="00A40F6A"/>
    <w:rsid w:val="00A4150A"/>
    <w:rsid w:val="00A42950"/>
    <w:rsid w:val="00A44BF2"/>
    <w:rsid w:val="00A456F5"/>
    <w:rsid w:val="00A477AE"/>
    <w:rsid w:val="00A50124"/>
    <w:rsid w:val="00A50868"/>
    <w:rsid w:val="00A51592"/>
    <w:rsid w:val="00A51BB7"/>
    <w:rsid w:val="00A537F3"/>
    <w:rsid w:val="00A54AFF"/>
    <w:rsid w:val="00A564E2"/>
    <w:rsid w:val="00A577A4"/>
    <w:rsid w:val="00A610C2"/>
    <w:rsid w:val="00A61E80"/>
    <w:rsid w:val="00A62C2C"/>
    <w:rsid w:val="00A63398"/>
    <w:rsid w:val="00A667A6"/>
    <w:rsid w:val="00A677FD"/>
    <w:rsid w:val="00A708CC"/>
    <w:rsid w:val="00A7298A"/>
    <w:rsid w:val="00A72D74"/>
    <w:rsid w:val="00A73A09"/>
    <w:rsid w:val="00A7545A"/>
    <w:rsid w:val="00A7607B"/>
    <w:rsid w:val="00A76BB3"/>
    <w:rsid w:val="00A77DEA"/>
    <w:rsid w:val="00A8384D"/>
    <w:rsid w:val="00A840CA"/>
    <w:rsid w:val="00A84137"/>
    <w:rsid w:val="00A84428"/>
    <w:rsid w:val="00A84A1C"/>
    <w:rsid w:val="00A862BD"/>
    <w:rsid w:val="00A87F76"/>
    <w:rsid w:val="00A901E6"/>
    <w:rsid w:val="00A907DF"/>
    <w:rsid w:val="00A9116B"/>
    <w:rsid w:val="00A93F88"/>
    <w:rsid w:val="00A93FC2"/>
    <w:rsid w:val="00A9509B"/>
    <w:rsid w:val="00A97FCD"/>
    <w:rsid w:val="00AA04A3"/>
    <w:rsid w:val="00AA0B4E"/>
    <w:rsid w:val="00AA131A"/>
    <w:rsid w:val="00AA19D1"/>
    <w:rsid w:val="00AA4637"/>
    <w:rsid w:val="00AA4A1D"/>
    <w:rsid w:val="00AA52EC"/>
    <w:rsid w:val="00AB0F89"/>
    <w:rsid w:val="00AB3198"/>
    <w:rsid w:val="00AB477B"/>
    <w:rsid w:val="00AB5F6E"/>
    <w:rsid w:val="00AB72A9"/>
    <w:rsid w:val="00AC1514"/>
    <w:rsid w:val="00AD131F"/>
    <w:rsid w:val="00AD37B4"/>
    <w:rsid w:val="00AD392C"/>
    <w:rsid w:val="00AD39CD"/>
    <w:rsid w:val="00AD4A19"/>
    <w:rsid w:val="00AD76BA"/>
    <w:rsid w:val="00AE2DB0"/>
    <w:rsid w:val="00AE36D4"/>
    <w:rsid w:val="00AE4769"/>
    <w:rsid w:val="00AE5299"/>
    <w:rsid w:val="00AE56F1"/>
    <w:rsid w:val="00AE6335"/>
    <w:rsid w:val="00AF25DC"/>
    <w:rsid w:val="00AF42B4"/>
    <w:rsid w:val="00AF4B2B"/>
    <w:rsid w:val="00AF73BF"/>
    <w:rsid w:val="00AF740E"/>
    <w:rsid w:val="00AF76FA"/>
    <w:rsid w:val="00B01A02"/>
    <w:rsid w:val="00B03738"/>
    <w:rsid w:val="00B046B3"/>
    <w:rsid w:val="00B07363"/>
    <w:rsid w:val="00B104B7"/>
    <w:rsid w:val="00B10D6F"/>
    <w:rsid w:val="00B131BF"/>
    <w:rsid w:val="00B134A6"/>
    <w:rsid w:val="00B13F1B"/>
    <w:rsid w:val="00B14297"/>
    <w:rsid w:val="00B14C6D"/>
    <w:rsid w:val="00B20695"/>
    <w:rsid w:val="00B21BBC"/>
    <w:rsid w:val="00B24C77"/>
    <w:rsid w:val="00B2573B"/>
    <w:rsid w:val="00B258FF"/>
    <w:rsid w:val="00B2728C"/>
    <w:rsid w:val="00B27F1D"/>
    <w:rsid w:val="00B30772"/>
    <w:rsid w:val="00B3094C"/>
    <w:rsid w:val="00B30996"/>
    <w:rsid w:val="00B30E79"/>
    <w:rsid w:val="00B33C86"/>
    <w:rsid w:val="00B34A2C"/>
    <w:rsid w:val="00B354C7"/>
    <w:rsid w:val="00B37700"/>
    <w:rsid w:val="00B42D43"/>
    <w:rsid w:val="00B46D94"/>
    <w:rsid w:val="00B477DB"/>
    <w:rsid w:val="00B47C41"/>
    <w:rsid w:val="00B5215F"/>
    <w:rsid w:val="00B551C7"/>
    <w:rsid w:val="00B56659"/>
    <w:rsid w:val="00B57114"/>
    <w:rsid w:val="00B579C2"/>
    <w:rsid w:val="00B60135"/>
    <w:rsid w:val="00B61135"/>
    <w:rsid w:val="00B61768"/>
    <w:rsid w:val="00B62E5A"/>
    <w:rsid w:val="00B63DCF"/>
    <w:rsid w:val="00B64394"/>
    <w:rsid w:val="00B645F1"/>
    <w:rsid w:val="00B64F88"/>
    <w:rsid w:val="00B64FFE"/>
    <w:rsid w:val="00B65637"/>
    <w:rsid w:val="00B65F87"/>
    <w:rsid w:val="00B7079A"/>
    <w:rsid w:val="00B71233"/>
    <w:rsid w:val="00B7406E"/>
    <w:rsid w:val="00B74A8B"/>
    <w:rsid w:val="00B75090"/>
    <w:rsid w:val="00B76D5A"/>
    <w:rsid w:val="00B822F5"/>
    <w:rsid w:val="00B82602"/>
    <w:rsid w:val="00B833BE"/>
    <w:rsid w:val="00B85C48"/>
    <w:rsid w:val="00B91DCF"/>
    <w:rsid w:val="00B92491"/>
    <w:rsid w:val="00B9283B"/>
    <w:rsid w:val="00B94BFB"/>
    <w:rsid w:val="00B94EF1"/>
    <w:rsid w:val="00B950E5"/>
    <w:rsid w:val="00B9693D"/>
    <w:rsid w:val="00BA0CA1"/>
    <w:rsid w:val="00BA21BA"/>
    <w:rsid w:val="00BA4C8D"/>
    <w:rsid w:val="00BB0CAE"/>
    <w:rsid w:val="00BB2217"/>
    <w:rsid w:val="00BB3FD0"/>
    <w:rsid w:val="00BB5E9C"/>
    <w:rsid w:val="00BB7C1C"/>
    <w:rsid w:val="00BB7CEE"/>
    <w:rsid w:val="00BC0410"/>
    <w:rsid w:val="00BC0AFB"/>
    <w:rsid w:val="00BC25E4"/>
    <w:rsid w:val="00BC271E"/>
    <w:rsid w:val="00BC3449"/>
    <w:rsid w:val="00BC350E"/>
    <w:rsid w:val="00BC48A9"/>
    <w:rsid w:val="00BC4CC2"/>
    <w:rsid w:val="00BC4F31"/>
    <w:rsid w:val="00BC64D3"/>
    <w:rsid w:val="00BC66A3"/>
    <w:rsid w:val="00BC6EBB"/>
    <w:rsid w:val="00BD2096"/>
    <w:rsid w:val="00BD2EF4"/>
    <w:rsid w:val="00BD3D89"/>
    <w:rsid w:val="00BD45DD"/>
    <w:rsid w:val="00BD5715"/>
    <w:rsid w:val="00BD6282"/>
    <w:rsid w:val="00BD6B34"/>
    <w:rsid w:val="00BD6E4E"/>
    <w:rsid w:val="00BE2C24"/>
    <w:rsid w:val="00BE3586"/>
    <w:rsid w:val="00BE4714"/>
    <w:rsid w:val="00BE531D"/>
    <w:rsid w:val="00BE5555"/>
    <w:rsid w:val="00BE6B4F"/>
    <w:rsid w:val="00BE6C90"/>
    <w:rsid w:val="00BF02CE"/>
    <w:rsid w:val="00BF047D"/>
    <w:rsid w:val="00BF0508"/>
    <w:rsid w:val="00BF1B3D"/>
    <w:rsid w:val="00BF2BD6"/>
    <w:rsid w:val="00BF305A"/>
    <w:rsid w:val="00BF44DA"/>
    <w:rsid w:val="00BF7674"/>
    <w:rsid w:val="00C005AB"/>
    <w:rsid w:val="00C007BC"/>
    <w:rsid w:val="00C00FE2"/>
    <w:rsid w:val="00C0250F"/>
    <w:rsid w:val="00C030B4"/>
    <w:rsid w:val="00C04124"/>
    <w:rsid w:val="00C06CA2"/>
    <w:rsid w:val="00C076B4"/>
    <w:rsid w:val="00C10623"/>
    <w:rsid w:val="00C10E55"/>
    <w:rsid w:val="00C118D2"/>
    <w:rsid w:val="00C11ADD"/>
    <w:rsid w:val="00C12A47"/>
    <w:rsid w:val="00C13283"/>
    <w:rsid w:val="00C139CE"/>
    <w:rsid w:val="00C14A1F"/>
    <w:rsid w:val="00C16095"/>
    <w:rsid w:val="00C17065"/>
    <w:rsid w:val="00C173D5"/>
    <w:rsid w:val="00C20AC8"/>
    <w:rsid w:val="00C21402"/>
    <w:rsid w:val="00C231D0"/>
    <w:rsid w:val="00C241BB"/>
    <w:rsid w:val="00C24FF7"/>
    <w:rsid w:val="00C25A90"/>
    <w:rsid w:val="00C272B0"/>
    <w:rsid w:val="00C27706"/>
    <w:rsid w:val="00C277C9"/>
    <w:rsid w:val="00C32736"/>
    <w:rsid w:val="00C339CA"/>
    <w:rsid w:val="00C34E4C"/>
    <w:rsid w:val="00C351FB"/>
    <w:rsid w:val="00C36380"/>
    <w:rsid w:val="00C36AF4"/>
    <w:rsid w:val="00C36C97"/>
    <w:rsid w:val="00C37FC1"/>
    <w:rsid w:val="00C40B03"/>
    <w:rsid w:val="00C41CC8"/>
    <w:rsid w:val="00C43339"/>
    <w:rsid w:val="00C45842"/>
    <w:rsid w:val="00C46D56"/>
    <w:rsid w:val="00C472C8"/>
    <w:rsid w:val="00C47FFE"/>
    <w:rsid w:val="00C50A80"/>
    <w:rsid w:val="00C51248"/>
    <w:rsid w:val="00C5183B"/>
    <w:rsid w:val="00C5198F"/>
    <w:rsid w:val="00C523E1"/>
    <w:rsid w:val="00C52F84"/>
    <w:rsid w:val="00C53C44"/>
    <w:rsid w:val="00C56B1E"/>
    <w:rsid w:val="00C57CAD"/>
    <w:rsid w:val="00C62C36"/>
    <w:rsid w:val="00C630EE"/>
    <w:rsid w:val="00C636F8"/>
    <w:rsid w:val="00C648BD"/>
    <w:rsid w:val="00C6568F"/>
    <w:rsid w:val="00C656F9"/>
    <w:rsid w:val="00C65B96"/>
    <w:rsid w:val="00C65D1F"/>
    <w:rsid w:val="00C667C9"/>
    <w:rsid w:val="00C66E7D"/>
    <w:rsid w:val="00C727EB"/>
    <w:rsid w:val="00C73392"/>
    <w:rsid w:val="00C74BBF"/>
    <w:rsid w:val="00C7520C"/>
    <w:rsid w:val="00C7590A"/>
    <w:rsid w:val="00C80D82"/>
    <w:rsid w:val="00C8215F"/>
    <w:rsid w:val="00C82291"/>
    <w:rsid w:val="00C82447"/>
    <w:rsid w:val="00C83029"/>
    <w:rsid w:val="00C83134"/>
    <w:rsid w:val="00C8420C"/>
    <w:rsid w:val="00C84950"/>
    <w:rsid w:val="00C87332"/>
    <w:rsid w:val="00C87AA8"/>
    <w:rsid w:val="00C90355"/>
    <w:rsid w:val="00C90BC8"/>
    <w:rsid w:val="00C90EB7"/>
    <w:rsid w:val="00C91DDC"/>
    <w:rsid w:val="00C9200D"/>
    <w:rsid w:val="00C924FB"/>
    <w:rsid w:val="00C933DE"/>
    <w:rsid w:val="00C93B12"/>
    <w:rsid w:val="00C93F44"/>
    <w:rsid w:val="00C95D29"/>
    <w:rsid w:val="00C97632"/>
    <w:rsid w:val="00CA0612"/>
    <w:rsid w:val="00CA0E29"/>
    <w:rsid w:val="00CA37AF"/>
    <w:rsid w:val="00CA37C7"/>
    <w:rsid w:val="00CA618C"/>
    <w:rsid w:val="00CA6F7A"/>
    <w:rsid w:val="00CA771D"/>
    <w:rsid w:val="00CA7F4A"/>
    <w:rsid w:val="00CB0E8F"/>
    <w:rsid w:val="00CB3BE1"/>
    <w:rsid w:val="00CB4DEA"/>
    <w:rsid w:val="00CB56F9"/>
    <w:rsid w:val="00CB5D9C"/>
    <w:rsid w:val="00CB6138"/>
    <w:rsid w:val="00CB62CF"/>
    <w:rsid w:val="00CB637B"/>
    <w:rsid w:val="00CB683B"/>
    <w:rsid w:val="00CB6B45"/>
    <w:rsid w:val="00CB7DCE"/>
    <w:rsid w:val="00CC07FD"/>
    <w:rsid w:val="00CC284D"/>
    <w:rsid w:val="00CC2CB2"/>
    <w:rsid w:val="00CC2DD6"/>
    <w:rsid w:val="00CC300E"/>
    <w:rsid w:val="00CC36C7"/>
    <w:rsid w:val="00CC7134"/>
    <w:rsid w:val="00CC782F"/>
    <w:rsid w:val="00CC7F61"/>
    <w:rsid w:val="00CD159F"/>
    <w:rsid w:val="00CD2823"/>
    <w:rsid w:val="00CD6024"/>
    <w:rsid w:val="00CD726A"/>
    <w:rsid w:val="00CE0527"/>
    <w:rsid w:val="00CE26DA"/>
    <w:rsid w:val="00CE271D"/>
    <w:rsid w:val="00CE32A9"/>
    <w:rsid w:val="00CE3325"/>
    <w:rsid w:val="00CE4EF8"/>
    <w:rsid w:val="00CE6198"/>
    <w:rsid w:val="00CE648C"/>
    <w:rsid w:val="00CE6931"/>
    <w:rsid w:val="00CE703E"/>
    <w:rsid w:val="00CE7306"/>
    <w:rsid w:val="00CF07AB"/>
    <w:rsid w:val="00CF162D"/>
    <w:rsid w:val="00CF1E76"/>
    <w:rsid w:val="00CF2918"/>
    <w:rsid w:val="00CF2B4B"/>
    <w:rsid w:val="00CF446F"/>
    <w:rsid w:val="00CF4B9B"/>
    <w:rsid w:val="00CF5E5B"/>
    <w:rsid w:val="00CF75EA"/>
    <w:rsid w:val="00D001E3"/>
    <w:rsid w:val="00D006B8"/>
    <w:rsid w:val="00D00980"/>
    <w:rsid w:val="00D015DB"/>
    <w:rsid w:val="00D01754"/>
    <w:rsid w:val="00D0281A"/>
    <w:rsid w:val="00D038AB"/>
    <w:rsid w:val="00D05207"/>
    <w:rsid w:val="00D05883"/>
    <w:rsid w:val="00D07175"/>
    <w:rsid w:val="00D07FD4"/>
    <w:rsid w:val="00D115A7"/>
    <w:rsid w:val="00D11692"/>
    <w:rsid w:val="00D13FC0"/>
    <w:rsid w:val="00D2019F"/>
    <w:rsid w:val="00D20ADD"/>
    <w:rsid w:val="00D20C46"/>
    <w:rsid w:val="00D2113F"/>
    <w:rsid w:val="00D224AD"/>
    <w:rsid w:val="00D25143"/>
    <w:rsid w:val="00D25C51"/>
    <w:rsid w:val="00D25CF1"/>
    <w:rsid w:val="00D30202"/>
    <w:rsid w:val="00D3039A"/>
    <w:rsid w:val="00D308F7"/>
    <w:rsid w:val="00D32045"/>
    <w:rsid w:val="00D33109"/>
    <w:rsid w:val="00D34E57"/>
    <w:rsid w:val="00D35943"/>
    <w:rsid w:val="00D36BA2"/>
    <w:rsid w:val="00D37CAE"/>
    <w:rsid w:val="00D41C20"/>
    <w:rsid w:val="00D41CC2"/>
    <w:rsid w:val="00D44755"/>
    <w:rsid w:val="00D44EF9"/>
    <w:rsid w:val="00D45351"/>
    <w:rsid w:val="00D45B90"/>
    <w:rsid w:val="00D47859"/>
    <w:rsid w:val="00D47D4F"/>
    <w:rsid w:val="00D5032B"/>
    <w:rsid w:val="00D5343B"/>
    <w:rsid w:val="00D56E4E"/>
    <w:rsid w:val="00D57258"/>
    <w:rsid w:val="00D576C3"/>
    <w:rsid w:val="00D5789F"/>
    <w:rsid w:val="00D601CB"/>
    <w:rsid w:val="00D61E22"/>
    <w:rsid w:val="00D64ABA"/>
    <w:rsid w:val="00D64D36"/>
    <w:rsid w:val="00D65687"/>
    <w:rsid w:val="00D65FD1"/>
    <w:rsid w:val="00D66CA4"/>
    <w:rsid w:val="00D66CF0"/>
    <w:rsid w:val="00D66ED3"/>
    <w:rsid w:val="00D70091"/>
    <w:rsid w:val="00D70A29"/>
    <w:rsid w:val="00D70F87"/>
    <w:rsid w:val="00D7159D"/>
    <w:rsid w:val="00D719A7"/>
    <w:rsid w:val="00D74293"/>
    <w:rsid w:val="00D76CAF"/>
    <w:rsid w:val="00D7793A"/>
    <w:rsid w:val="00D77AAC"/>
    <w:rsid w:val="00D8104D"/>
    <w:rsid w:val="00D81406"/>
    <w:rsid w:val="00D815C2"/>
    <w:rsid w:val="00D8179D"/>
    <w:rsid w:val="00D81B56"/>
    <w:rsid w:val="00D84DE5"/>
    <w:rsid w:val="00D8606E"/>
    <w:rsid w:val="00D865CD"/>
    <w:rsid w:val="00D86619"/>
    <w:rsid w:val="00D8739F"/>
    <w:rsid w:val="00D9092E"/>
    <w:rsid w:val="00D91BFE"/>
    <w:rsid w:val="00D91C38"/>
    <w:rsid w:val="00D92AF8"/>
    <w:rsid w:val="00D93D84"/>
    <w:rsid w:val="00D957CC"/>
    <w:rsid w:val="00D95D8B"/>
    <w:rsid w:val="00D968D9"/>
    <w:rsid w:val="00D96DE2"/>
    <w:rsid w:val="00D973D9"/>
    <w:rsid w:val="00DA0DCB"/>
    <w:rsid w:val="00DA1686"/>
    <w:rsid w:val="00DA1E6C"/>
    <w:rsid w:val="00DA2C66"/>
    <w:rsid w:val="00DA2DC2"/>
    <w:rsid w:val="00DA5D65"/>
    <w:rsid w:val="00DA612E"/>
    <w:rsid w:val="00DA70BD"/>
    <w:rsid w:val="00DB0114"/>
    <w:rsid w:val="00DB645E"/>
    <w:rsid w:val="00DB6A37"/>
    <w:rsid w:val="00DB7CEA"/>
    <w:rsid w:val="00DC036E"/>
    <w:rsid w:val="00DC0D9C"/>
    <w:rsid w:val="00DC1FB4"/>
    <w:rsid w:val="00DC3ED2"/>
    <w:rsid w:val="00DC4591"/>
    <w:rsid w:val="00DC4D21"/>
    <w:rsid w:val="00DC5133"/>
    <w:rsid w:val="00DC5C18"/>
    <w:rsid w:val="00DC5F9B"/>
    <w:rsid w:val="00DC7146"/>
    <w:rsid w:val="00DD03B0"/>
    <w:rsid w:val="00DD0947"/>
    <w:rsid w:val="00DD1210"/>
    <w:rsid w:val="00DD1C0C"/>
    <w:rsid w:val="00DD21AC"/>
    <w:rsid w:val="00DD2BA3"/>
    <w:rsid w:val="00DD5468"/>
    <w:rsid w:val="00DD6073"/>
    <w:rsid w:val="00DD68A0"/>
    <w:rsid w:val="00DD7C41"/>
    <w:rsid w:val="00DE0291"/>
    <w:rsid w:val="00DE3335"/>
    <w:rsid w:val="00DE38C8"/>
    <w:rsid w:val="00DE5858"/>
    <w:rsid w:val="00DE7C67"/>
    <w:rsid w:val="00DF09D4"/>
    <w:rsid w:val="00DF20F3"/>
    <w:rsid w:val="00DF23FD"/>
    <w:rsid w:val="00DF65DD"/>
    <w:rsid w:val="00DF68A2"/>
    <w:rsid w:val="00DF69C0"/>
    <w:rsid w:val="00DF75BE"/>
    <w:rsid w:val="00DF7901"/>
    <w:rsid w:val="00E01416"/>
    <w:rsid w:val="00E01E67"/>
    <w:rsid w:val="00E064E4"/>
    <w:rsid w:val="00E06ED5"/>
    <w:rsid w:val="00E0756C"/>
    <w:rsid w:val="00E0756D"/>
    <w:rsid w:val="00E078A1"/>
    <w:rsid w:val="00E07C08"/>
    <w:rsid w:val="00E134E2"/>
    <w:rsid w:val="00E140DF"/>
    <w:rsid w:val="00E14408"/>
    <w:rsid w:val="00E1619B"/>
    <w:rsid w:val="00E162AC"/>
    <w:rsid w:val="00E1767E"/>
    <w:rsid w:val="00E17E63"/>
    <w:rsid w:val="00E20510"/>
    <w:rsid w:val="00E206BF"/>
    <w:rsid w:val="00E20B9A"/>
    <w:rsid w:val="00E24170"/>
    <w:rsid w:val="00E24353"/>
    <w:rsid w:val="00E259C1"/>
    <w:rsid w:val="00E3052A"/>
    <w:rsid w:val="00E3477C"/>
    <w:rsid w:val="00E36105"/>
    <w:rsid w:val="00E36A8F"/>
    <w:rsid w:val="00E378EC"/>
    <w:rsid w:val="00E44819"/>
    <w:rsid w:val="00E45BC4"/>
    <w:rsid w:val="00E4672D"/>
    <w:rsid w:val="00E47096"/>
    <w:rsid w:val="00E47ED2"/>
    <w:rsid w:val="00E51140"/>
    <w:rsid w:val="00E51D32"/>
    <w:rsid w:val="00E53A78"/>
    <w:rsid w:val="00E55401"/>
    <w:rsid w:val="00E5723F"/>
    <w:rsid w:val="00E60D0E"/>
    <w:rsid w:val="00E619D3"/>
    <w:rsid w:val="00E625A8"/>
    <w:rsid w:val="00E62B23"/>
    <w:rsid w:val="00E64564"/>
    <w:rsid w:val="00E65FE0"/>
    <w:rsid w:val="00E66B53"/>
    <w:rsid w:val="00E70CF1"/>
    <w:rsid w:val="00E70D35"/>
    <w:rsid w:val="00E71C96"/>
    <w:rsid w:val="00E72C2F"/>
    <w:rsid w:val="00E72FE0"/>
    <w:rsid w:val="00E752DF"/>
    <w:rsid w:val="00E76681"/>
    <w:rsid w:val="00E770B1"/>
    <w:rsid w:val="00E800E9"/>
    <w:rsid w:val="00E80254"/>
    <w:rsid w:val="00E80625"/>
    <w:rsid w:val="00E807E1"/>
    <w:rsid w:val="00E8413A"/>
    <w:rsid w:val="00E84E1E"/>
    <w:rsid w:val="00E86BB1"/>
    <w:rsid w:val="00E86F48"/>
    <w:rsid w:val="00E90A91"/>
    <w:rsid w:val="00E916A6"/>
    <w:rsid w:val="00E928BF"/>
    <w:rsid w:val="00E939B9"/>
    <w:rsid w:val="00E93E21"/>
    <w:rsid w:val="00E9722C"/>
    <w:rsid w:val="00E97AC6"/>
    <w:rsid w:val="00EA0137"/>
    <w:rsid w:val="00EA0538"/>
    <w:rsid w:val="00EA07A8"/>
    <w:rsid w:val="00EA0D78"/>
    <w:rsid w:val="00EA1CF4"/>
    <w:rsid w:val="00EA1E8F"/>
    <w:rsid w:val="00EA2AF1"/>
    <w:rsid w:val="00EA34C0"/>
    <w:rsid w:val="00EA369A"/>
    <w:rsid w:val="00EA3C67"/>
    <w:rsid w:val="00EA3DA9"/>
    <w:rsid w:val="00EA44C3"/>
    <w:rsid w:val="00EA49A8"/>
    <w:rsid w:val="00EA6D44"/>
    <w:rsid w:val="00EB21DD"/>
    <w:rsid w:val="00EB3775"/>
    <w:rsid w:val="00EB4860"/>
    <w:rsid w:val="00EB5E57"/>
    <w:rsid w:val="00EB6426"/>
    <w:rsid w:val="00EB6A1A"/>
    <w:rsid w:val="00EB6C72"/>
    <w:rsid w:val="00EC084B"/>
    <w:rsid w:val="00EC0A12"/>
    <w:rsid w:val="00EC3A84"/>
    <w:rsid w:val="00EC3AD7"/>
    <w:rsid w:val="00EC3E46"/>
    <w:rsid w:val="00EC461F"/>
    <w:rsid w:val="00EC6D3D"/>
    <w:rsid w:val="00EC770F"/>
    <w:rsid w:val="00ED2B78"/>
    <w:rsid w:val="00ED2DB9"/>
    <w:rsid w:val="00ED5548"/>
    <w:rsid w:val="00ED6863"/>
    <w:rsid w:val="00ED68F9"/>
    <w:rsid w:val="00EE0705"/>
    <w:rsid w:val="00EE115A"/>
    <w:rsid w:val="00EE1E5C"/>
    <w:rsid w:val="00EE4829"/>
    <w:rsid w:val="00EE55F5"/>
    <w:rsid w:val="00EE5A6F"/>
    <w:rsid w:val="00EF06FF"/>
    <w:rsid w:val="00EF098B"/>
    <w:rsid w:val="00EF16AF"/>
    <w:rsid w:val="00EF1C3B"/>
    <w:rsid w:val="00EF37E8"/>
    <w:rsid w:val="00EF4F09"/>
    <w:rsid w:val="00EF5A4A"/>
    <w:rsid w:val="00EF6673"/>
    <w:rsid w:val="00EF766E"/>
    <w:rsid w:val="00EF7A34"/>
    <w:rsid w:val="00F0388E"/>
    <w:rsid w:val="00F040A8"/>
    <w:rsid w:val="00F04AD3"/>
    <w:rsid w:val="00F10370"/>
    <w:rsid w:val="00F11C26"/>
    <w:rsid w:val="00F1431C"/>
    <w:rsid w:val="00F16030"/>
    <w:rsid w:val="00F16339"/>
    <w:rsid w:val="00F16561"/>
    <w:rsid w:val="00F20069"/>
    <w:rsid w:val="00F2126A"/>
    <w:rsid w:val="00F21C8A"/>
    <w:rsid w:val="00F2261C"/>
    <w:rsid w:val="00F2279D"/>
    <w:rsid w:val="00F243B1"/>
    <w:rsid w:val="00F2481A"/>
    <w:rsid w:val="00F24B38"/>
    <w:rsid w:val="00F24E46"/>
    <w:rsid w:val="00F2500F"/>
    <w:rsid w:val="00F259F1"/>
    <w:rsid w:val="00F27EFD"/>
    <w:rsid w:val="00F316A6"/>
    <w:rsid w:val="00F317BB"/>
    <w:rsid w:val="00F321E1"/>
    <w:rsid w:val="00F32217"/>
    <w:rsid w:val="00F3225A"/>
    <w:rsid w:val="00F324B7"/>
    <w:rsid w:val="00F32596"/>
    <w:rsid w:val="00F3330A"/>
    <w:rsid w:val="00F34D37"/>
    <w:rsid w:val="00F34ED6"/>
    <w:rsid w:val="00F34EE0"/>
    <w:rsid w:val="00F36236"/>
    <w:rsid w:val="00F37748"/>
    <w:rsid w:val="00F37E1C"/>
    <w:rsid w:val="00F40BE8"/>
    <w:rsid w:val="00F415CB"/>
    <w:rsid w:val="00F425B0"/>
    <w:rsid w:val="00F4323A"/>
    <w:rsid w:val="00F440B4"/>
    <w:rsid w:val="00F45F15"/>
    <w:rsid w:val="00F46242"/>
    <w:rsid w:val="00F47690"/>
    <w:rsid w:val="00F508CD"/>
    <w:rsid w:val="00F50AD6"/>
    <w:rsid w:val="00F5131D"/>
    <w:rsid w:val="00F533B2"/>
    <w:rsid w:val="00F534FD"/>
    <w:rsid w:val="00F53AE0"/>
    <w:rsid w:val="00F53E50"/>
    <w:rsid w:val="00F54E95"/>
    <w:rsid w:val="00F61281"/>
    <w:rsid w:val="00F6258F"/>
    <w:rsid w:val="00F657E4"/>
    <w:rsid w:val="00F67E4F"/>
    <w:rsid w:val="00F7287A"/>
    <w:rsid w:val="00F72F13"/>
    <w:rsid w:val="00F74B0F"/>
    <w:rsid w:val="00F7625C"/>
    <w:rsid w:val="00F76C12"/>
    <w:rsid w:val="00F81720"/>
    <w:rsid w:val="00F82829"/>
    <w:rsid w:val="00F83763"/>
    <w:rsid w:val="00F83DBA"/>
    <w:rsid w:val="00F851C7"/>
    <w:rsid w:val="00F8605B"/>
    <w:rsid w:val="00F906C5"/>
    <w:rsid w:val="00F936BF"/>
    <w:rsid w:val="00F93D45"/>
    <w:rsid w:val="00F948CA"/>
    <w:rsid w:val="00F94A08"/>
    <w:rsid w:val="00F94D0B"/>
    <w:rsid w:val="00F958D7"/>
    <w:rsid w:val="00FA0948"/>
    <w:rsid w:val="00FA0E0B"/>
    <w:rsid w:val="00FA1444"/>
    <w:rsid w:val="00FA5CAA"/>
    <w:rsid w:val="00FA792F"/>
    <w:rsid w:val="00FA7FF0"/>
    <w:rsid w:val="00FB09E8"/>
    <w:rsid w:val="00FB1293"/>
    <w:rsid w:val="00FB2272"/>
    <w:rsid w:val="00FB7887"/>
    <w:rsid w:val="00FB7A4B"/>
    <w:rsid w:val="00FC1071"/>
    <w:rsid w:val="00FC1103"/>
    <w:rsid w:val="00FC1C1C"/>
    <w:rsid w:val="00FC3652"/>
    <w:rsid w:val="00FC3AB6"/>
    <w:rsid w:val="00FC58A9"/>
    <w:rsid w:val="00FC5F00"/>
    <w:rsid w:val="00FD129A"/>
    <w:rsid w:val="00FD1739"/>
    <w:rsid w:val="00FD20F2"/>
    <w:rsid w:val="00FD2678"/>
    <w:rsid w:val="00FD4B9A"/>
    <w:rsid w:val="00FE03CA"/>
    <w:rsid w:val="00FE1604"/>
    <w:rsid w:val="00FE4C51"/>
    <w:rsid w:val="00FE51EF"/>
    <w:rsid w:val="00FE5498"/>
    <w:rsid w:val="00FE5F49"/>
    <w:rsid w:val="00FE6CD4"/>
    <w:rsid w:val="00FE7CE0"/>
    <w:rsid w:val="00FE7FDB"/>
    <w:rsid w:val="00FF168D"/>
    <w:rsid w:val="00FF399F"/>
    <w:rsid w:val="00FF3FC4"/>
    <w:rsid w:val="00FF4EFB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="Calibri" w:hAnsi="Calibri"/>
      <w:w w:val="99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link w:val="Ttulo2Car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link w:val="Ttulo4Car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link w:val="Ttulo5Car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link w:val="Ttulo6Car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32E2B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632E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link w:val="Ttulo9Car"/>
    <w:qFormat/>
    <w:rsid w:val="00632E2B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32E2B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link w:val="TextoindependienteCar"/>
    <w:rsid w:val="00632E2B"/>
    <w:rPr>
      <w:sz w:val="28"/>
    </w:rPr>
  </w:style>
  <w:style w:type="paragraph" w:styleId="Encabezado">
    <w:name w:val="header"/>
    <w:basedOn w:val="Normal"/>
    <w:link w:val="EncabezadoCar"/>
    <w:rsid w:val="00632E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32E2B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632E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32E2B"/>
    <w:rPr>
      <w:szCs w:val="20"/>
    </w:rPr>
  </w:style>
  <w:style w:type="paragraph" w:styleId="Textonotapie">
    <w:name w:val="footnote text"/>
    <w:basedOn w:val="Normal"/>
    <w:link w:val="TextonotapieCar"/>
    <w:semiHidden/>
    <w:rsid w:val="00632E2B"/>
    <w:rPr>
      <w:szCs w:val="20"/>
    </w:rPr>
  </w:style>
  <w:style w:type="character" w:styleId="Refdenotaalpie">
    <w:name w:val="footnote reference"/>
    <w:semiHidden/>
    <w:rsid w:val="00632E2B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632E2B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link w:val="SangradetextonormalCar"/>
    <w:rsid w:val="00632E2B"/>
    <w:pPr>
      <w:ind w:left="708"/>
    </w:pPr>
    <w:rPr>
      <w:rFonts w:cs="Arial"/>
    </w:rPr>
  </w:style>
  <w:style w:type="paragraph" w:styleId="Textoindependiente2">
    <w:name w:val="Body Text 2"/>
    <w:basedOn w:val="Normal"/>
    <w:link w:val="Textoindependiente2Car"/>
    <w:rsid w:val="00632E2B"/>
    <w:rPr>
      <w:rFonts w:cs="Arial"/>
    </w:rPr>
  </w:style>
  <w:style w:type="paragraph" w:styleId="Textosinformato">
    <w:name w:val="Plain Text"/>
    <w:basedOn w:val="Normal"/>
    <w:link w:val="TextosinformatoCar"/>
    <w:rsid w:val="00632E2B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632E2B"/>
    <w:pPr>
      <w:ind w:left="540"/>
    </w:pPr>
    <w:rPr>
      <w:rFonts w:cs="Arial"/>
    </w:rPr>
  </w:style>
  <w:style w:type="paragraph" w:styleId="Textodebloque">
    <w:name w:val="Block Text"/>
    <w:basedOn w:val="Normal"/>
    <w:rsid w:val="00632E2B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632E2B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632E2B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632E2B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632E2B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632E2B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632E2B"/>
    <w:pPr>
      <w:ind w:left="1920"/>
    </w:pPr>
  </w:style>
  <w:style w:type="character" w:styleId="Hipervnculo">
    <w:name w:val="Hyperlink"/>
    <w:uiPriority w:val="99"/>
    <w:rsid w:val="00632E2B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632E2B"/>
    <w:pPr>
      <w:ind w:left="480" w:hanging="480"/>
    </w:pPr>
  </w:style>
  <w:style w:type="character" w:styleId="Hipervnculovisitado">
    <w:name w:val="FollowedHyperlink"/>
    <w:rsid w:val="00632E2B"/>
    <w:rPr>
      <w:color w:val="800080"/>
      <w:u w:val="single"/>
    </w:rPr>
  </w:style>
  <w:style w:type="character" w:styleId="Nmerodepgina">
    <w:name w:val="page number"/>
    <w:basedOn w:val="Fuentedeprrafopredeter"/>
    <w:rsid w:val="00632E2B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41116"/>
    <w:rPr>
      <w:b/>
      <w:bCs/>
    </w:rPr>
  </w:style>
  <w:style w:type="paragraph" w:styleId="Textodeglobo">
    <w:name w:val="Balloon Text"/>
    <w:basedOn w:val="Normal"/>
    <w:link w:val="TextodegloboCar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rsid w:val="00106C4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tuloCar">
    <w:name w:val="Subtítulo Car"/>
    <w:link w:val="Subttulo"/>
    <w:rsid w:val="00BD6E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uiPriority w:val="99"/>
    <w:rsid w:val="00DC7146"/>
    <w:rPr>
      <w:rFonts w:ascii="Arial" w:hAnsi="Arial"/>
      <w:w w:val="99"/>
      <w:szCs w:val="24"/>
    </w:rPr>
  </w:style>
  <w:style w:type="character" w:customStyle="1" w:styleId="Ttulo1Car">
    <w:name w:val="Título 1 Car"/>
    <w:basedOn w:val="Fuentedeprrafopredeter"/>
    <w:link w:val="Ttulo1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128F1"/>
    <w:rPr>
      <w:rFonts w:ascii="Calibri" w:hAnsi="Calibri"/>
      <w:w w:val="99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128F1"/>
    <w:rPr>
      <w:rFonts w:ascii="Calibri" w:hAnsi="Calibri"/>
      <w:i/>
      <w:iCs/>
      <w:w w:val="99"/>
      <w:szCs w:val="24"/>
      <w:lang w:val="es-ES" w:eastAsia="es-ES"/>
    </w:rPr>
  </w:style>
  <w:style w:type="character" w:customStyle="1" w:styleId="Ttulo9Car">
    <w:name w:val="Título 9 Car"/>
    <w:aliases w:val="Título x Car"/>
    <w:basedOn w:val="Fuentedeprrafopredeter"/>
    <w:link w:val="Ttulo9"/>
    <w:rsid w:val="003128F1"/>
    <w:rPr>
      <w:rFonts w:ascii="Calibri" w:hAnsi="Calibri" w:cs="Arial"/>
      <w:w w:val="99"/>
      <w:sz w:val="22"/>
      <w:szCs w:val="2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128F1"/>
    <w:rPr>
      <w:rFonts w:ascii="Calibri" w:hAnsi="Calibri"/>
      <w:b/>
      <w:bCs/>
      <w:w w:val="99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28F1"/>
    <w:rPr>
      <w:rFonts w:ascii="Calibri" w:hAnsi="Calibri"/>
      <w:w w:val="99"/>
      <w:sz w:val="28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128F1"/>
    <w:rPr>
      <w:rFonts w:ascii="Calibri" w:hAnsi="Calibri"/>
      <w:w w:val="99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128F1"/>
    <w:rPr>
      <w:rFonts w:ascii="Calibri" w:hAnsi="Calibri"/>
      <w:w w:val="99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128F1"/>
    <w:rPr>
      <w:rFonts w:ascii="Courier New" w:hAnsi="Courier New"/>
      <w:w w:val="99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128F1"/>
    <w:rPr>
      <w:rFonts w:ascii="Calibri" w:hAnsi="Calibri"/>
      <w:b/>
      <w:bCs/>
      <w:w w:val="99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3128F1"/>
    <w:rPr>
      <w:rFonts w:ascii="Tahoma" w:hAnsi="Tahoma" w:cs="Tahoma"/>
      <w:w w:val="99"/>
      <w:sz w:val="16"/>
      <w:szCs w:val="16"/>
      <w:lang w:val="es-ES" w:eastAsia="es-ES"/>
    </w:rPr>
  </w:style>
  <w:style w:type="paragraph" w:customStyle="1" w:styleId="TTULOCENTRALCARTULA">
    <w:name w:val="TÍTULO CENTRAL CARÁTULA"/>
    <w:basedOn w:val="Normal"/>
    <w:rsid w:val="00D01754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="Calibri" w:hAnsi="Calibri"/>
      <w:w w:val="99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link w:val="Ttulo2Car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link w:val="Ttulo4Car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link w:val="Ttulo5Car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link w:val="Ttulo6Car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32E2B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632E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link w:val="Ttulo9Car"/>
    <w:qFormat/>
    <w:rsid w:val="00632E2B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32E2B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link w:val="TextoindependienteCar"/>
    <w:rsid w:val="00632E2B"/>
    <w:rPr>
      <w:sz w:val="28"/>
    </w:rPr>
  </w:style>
  <w:style w:type="paragraph" w:styleId="Encabezado">
    <w:name w:val="header"/>
    <w:basedOn w:val="Normal"/>
    <w:link w:val="EncabezadoCar"/>
    <w:rsid w:val="00632E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32E2B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632E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32E2B"/>
    <w:rPr>
      <w:szCs w:val="20"/>
    </w:rPr>
  </w:style>
  <w:style w:type="paragraph" w:styleId="Textonotapie">
    <w:name w:val="footnote text"/>
    <w:basedOn w:val="Normal"/>
    <w:link w:val="TextonotapieCar"/>
    <w:semiHidden/>
    <w:rsid w:val="00632E2B"/>
    <w:rPr>
      <w:szCs w:val="20"/>
    </w:rPr>
  </w:style>
  <w:style w:type="character" w:styleId="Refdenotaalpie">
    <w:name w:val="footnote reference"/>
    <w:semiHidden/>
    <w:rsid w:val="00632E2B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632E2B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link w:val="SangradetextonormalCar"/>
    <w:rsid w:val="00632E2B"/>
    <w:pPr>
      <w:ind w:left="708"/>
    </w:pPr>
    <w:rPr>
      <w:rFonts w:cs="Arial"/>
    </w:rPr>
  </w:style>
  <w:style w:type="paragraph" w:styleId="Textoindependiente2">
    <w:name w:val="Body Text 2"/>
    <w:basedOn w:val="Normal"/>
    <w:link w:val="Textoindependiente2Car"/>
    <w:rsid w:val="00632E2B"/>
    <w:rPr>
      <w:rFonts w:cs="Arial"/>
    </w:rPr>
  </w:style>
  <w:style w:type="paragraph" w:styleId="Textosinformato">
    <w:name w:val="Plain Text"/>
    <w:basedOn w:val="Normal"/>
    <w:link w:val="TextosinformatoCar"/>
    <w:rsid w:val="00632E2B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632E2B"/>
    <w:pPr>
      <w:ind w:left="540"/>
    </w:pPr>
    <w:rPr>
      <w:rFonts w:cs="Arial"/>
    </w:rPr>
  </w:style>
  <w:style w:type="paragraph" w:styleId="Textodebloque">
    <w:name w:val="Block Text"/>
    <w:basedOn w:val="Normal"/>
    <w:rsid w:val="00632E2B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632E2B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632E2B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632E2B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632E2B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632E2B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632E2B"/>
    <w:pPr>
      <w:ind w:left="1920"/>
    </w:pPr>
  </w:style>
  <w:style w:type="character" w:styleId="Hipervnculo">
    <w:name w:val="Hyperlink"/>
    <w:uiPriority w:val="99"/>
    <w:rsid w:val="00632E2B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632E2B"/>
    <w:pPr>
      <w:ind w:left="480" w:hanging="480"/>
    </w:pPr>
  </w:style>
  <w:style w:type="character" w:styleId="Hipervnculovisitado">
    <w:name w:val="FollowedHyperlink"/>
    <w:rsid w:val="00632E2B"/>
    <w:rPr>
      <w:color w:val="800080"/>
      <w:u w:val="single"/>
    </w:rPr>
  </w:style>
  <w:style w:type="character" w:styleId="Nmerodepgina">
    <w:name w:val="page number"/>
    <w:basedOn w:val="Fuentedeprrafopredeter"/>
    <w:rsid w:val="00632E2B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41116"/>
    <w:rPr>
      <w:b/>
      <w:bCs/>
    </w:rPr>
  </w:style>
  <w:style w:type="paragraph" w:styleId="Textodeglobo">
    <w:name w:val="Balloon Text"/>
    <w:basedOn w:val="Normal"/>
    <w:link w:val="TextodegloboCar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rsid w:val="00106C4E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tuloCar">
    <w:name w:val="Subtítulo Car"/>
    <w:link w:val="Subttulo"/>
    <w:rsid w:val="00BD6E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uiPriority w:val="99"/>
    <w:rsid w:val="00DC7146"/>
    <w:rPr>
      <w:rFonts w:ascii="Arial" w:hAnsi="Arial"/>
      <w:w w:val="99"/>
      <w:szCs w:val="24"/>
    </w:rPr>
  </w:style>
  <w:style w:type="character" w:customStyle="1" w:styleId="Ttulo1Car">
    <w:name w:val="Título 1 Car"/>
    <w:basedOn w:val="Fuentedeprrafopredeter"/>
    <w:link w:val="Ttulo1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128F1"/>
    <w:rPr>
      <w:rFonts w:ascii="Calibri" w:hAnsi="Calibri" w:cs="Arial"/>
      <w:b/>
      <w:w w:val="99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128F1"/>
    <w:rPr>
      <w:rFonts w:ascii="Calibri" w:hAnsi="Calibri" w:cs="Arial"/>
      <w:b/>
      <w:bCs/>
      <w:w w:val="99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128F1"/>
    <w:rPr>
      <w:rFonts w:ascii="Calibri" w:hAnsi="Calibri"/>
      <w:w w:val="99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128F1"/>
    <w:rPr>
      <w:rFonts w:ascii="Calibri" w:hAnsi="Calibri"/>
      <w:i/>
      <w:iCs/>
      <w:w w:val="99"/>
      <w:szCs w:val="24"/>
      <w:lang w:val="es-ES" w:eastAsia="es-ES"/>
    </w:rPr>
  </w:style>
  <w:style w:type="character" w:customStyle="1" w:styleId="Ttulo9Car">
    <w:name w:val="Título 9 Car"/>
    <w:aliases w:val="Título x Car"/>
    <w:basedOn w:val="Fuentedeprrafopredeter"/>
    <w:link w:val="Ttulo9"/>
    <w:rsid w:val="003128F1"/>
    <w:rPr>
      <w:rFonts w:ascii="Calibri" w:hAnsi="Calibri" w:cs="Arial"/>
      <w:w w:val="99"/>
      <w:sz w:val="22"/>
      <w:szCs w:val="2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128F1"/>
    <w:rPr>
      <w:rFonts w:ascii="Calibri" w:hAnsi="Calibri"/>
      <w:b/>
      <w:bCs/>
      <w:w w:val="99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28F1"/>
    <w:rPr>
      <w:rFonts w:ascii="Calibri" w:hAnsi="Calibri"/>
      <w:w w:val="99"/>
      <w:sz w:val="28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128F1"/>
    <w:rPr>
      <w:rFonts w:ascii="Calibri" w:hAnsi="Calibri"/>
      <w:w w:val="99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128F1"/>
    <w:rPr>
      <w:rFonts w:ascii="Calibri" w:hAnsi="Calibri"/>
      <w:w w:val="99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128F1"/>
    <w:rPr>
      <w:rFonts w:ascii="Courier New" w:hAnsi="Courier New"/>
      <w:w w:val="99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28F1"/>
    <w:rPr>
      <w:rFonts w:ascii="Calibri" w:hAnsi="Calibri" w:cs="Arial"/>
      <w:w w:val="99"/>
      <w:szCs w:val="24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128F1"/>
    <w:rPr>
      <w:rFonts w:ascii="Calibri" w:hAnsi="Calibri"/>
      <w:b/>
      <w:bCs/>
      <w:w w:val="99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3128F1"/>
    <w:rPr>
      <w:rFonts w:ascii="Tahoma" w:hAnsi="Tahoma" w:cs="Tahoma"/>
      <w:w w:val="99"/>
      <w:sz w:val="16"/>
      <w:szCs w:val="16"/>
      <w:lang w:val="es-ES" w:eastAsia="es-ES"/>
    </w:rPr>
  </w:style>
  <w:style w:type="paragraph" w:customStyle="1" w:styleId="TTULOCENTRALCARTULA">
    <w:name w:val="TÍTULO CENTRAL CARÁTULA"/>
    <w:basedOn w:val="Normal"/>
    <w:rsid w:val="00D01754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nde.bo/archivo/proyecto/logo_reporte_corp.jpg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66A8-F4DA-424B-9E0A-4FA67CE2E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934A4-062F-4D77-ADB9-E912715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3618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cre</Company>
  <LinksUpToDate>false</LinksUpToDate>
  <CharactersWithSpaces>23476</CharactersWithSpaces>
  <SharedDoc>false</SharedDoc>
  <HLinks>
    <vt:vector size="96" baseType="variant"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_Toc351372177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_Toc351372176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_Toc351372175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_Toc351372174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_Toc351372173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_Toc351372172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_Toc351372171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_Toc351372170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_Toc351372169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_Toc351372168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_Toc351372167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_Toc351372166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_Toc351372165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_Toc351372164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_Toc351372163</vt:lpwstr>
      </vt:variant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http://www.tde.com.bo/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Miguel Angel Pinedo</dc:creator>
  <cp:lastModifiedBy>Raul Hermann Vargas</cp:lastModifiedBy>
  <cp:revision>2</cp:revision>
  <cp:lastPrinted>2018-07-20T18:42:00Z</cp:lastPrinted>
  <dcterms:created xsi:type="dcterms:W3CDTF">2019-04-18T17:51:00Z</dcterms:created>
  <dcterms:modified xsi:type="dcterms:W3CDTF">2019-04-18T17:51:00Z</dcterms:modified>
</cp:coreProperties>
</file>