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73" w:rsidRDefault="00156873" w:rsidP="00156873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56873" w:rsidRPr="00A40276" w:rsidRDefault="00156873" w:rsidP="00156873">
      <w:pPr>
        <w:jc w:val="both"/>
        <w:rPr>
          <w:rFonts w:cs="Arial"/>
          <w:sz w:val="4"/>
          <w:szCs w:val="2"/>
          <w:lang w:val="es-BO"/>
        </w:rPr>
      </w:pPr>
    </w:p>
    <w:p w:rsidR="002F747F" w:rsidRDefault="00156873" w:rsidP="008849EB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2F747F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p w:rsidR="00F93E62" w:rsidRPr="00765F1B" w:rsidRDefault="00F93E62" w:rsidP="00F93E62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F93E62" w:rsidRPr="00A40276" w:rsidTr="00647B4B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93E62" w:rsidRPr="00A40276" w:rsidRDefault="00F93E62" w:rsidP="00F93E6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93E62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93E62" w:rsidRPr="00A40276" w:rsidTr="00647B4B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93E62" w:rsidRPr="00A40276" w:rsidTr="00647B4B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ENDE-ANPE-2024-016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F93E62" w:rsidRPr="00A40276" w:rsidTr="00647B4B">
        <w:trPr>
          <w:jc w:val="center"/>
        </w:trPr>
        <w:tc>
          <w:tcPr>
            <w:tcW w:w="206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BE5F9B" w:rsidRDefault="00F93E62" w:rsidP="00647B4B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62" w:rsidRPr="00BE5F9B" w:rsidRDefault="00F93E62" w:rsidP="00647B4B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BE5F9B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B61D36" w:rsidTr="00647B4B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B61D36" w:rsidRDefault="00F93E62" w:rsidP="00647B4B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B61D36">
              <w:rPr>
                <w:rFonts w:ascii="Arial" w:hAnsi="Arial" w:cs="Arial"/>
                <w:lang w:val="es-BO"/>
              </w:rPr>
              <w:t>RENOVACION DEL SOPORTE DEL SOFTWARE DE REPLICACION DE SERVIDORES DATAKEEPER – GESTION 2024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B61D3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B61D3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B61D3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B61D3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DC204D" w:rsidRDefault="00F93E62" w:rsidP="00647B4B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A62772">
              <w:rPr>
                <w:rFonts w:ascii="Arial" w:hAnsi="Arial" w:cs="Arial"/>
                <w:lang w:val="es-BO"/>
              </w:rPr>
              <w:t>E</w:t>
            </w:r>
            <w:r>
              <w:rPr>
                <w:rFonts w:ascii="Arial" w:hAnsi="Arial" w:cs="Arial"/>
                <w:lang w:val="es-BO"/>
              </w:rPr>
              <w:t>l precio referencial es de Bs. 129</w:t>
            </w:r>
            <w:r w:rsidRPr="00CC07AB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 xml:space="preserve">996,00 </w:t>
            </w:r>
            <w:r w:rsidRPr="00CC07AB">
              <w:rPr>
                <w:rFonts w:ascii="Arial" w:hAnsi="Arial" w:cs="Arial"/>
                <w:lang w:val="es-BO"/>
              </w:rPr>
              <w:t>(</w:t>
            </w:r>
            <w:r w:rsidRPr="008172FD">
              <w:rPr>
                <w:rFonts w:ascii="Arial" w:hAnsi="Arial" w:cs="Arial"/>
                <w:lang w:val="es-BO"/>
              </w:rPr>
              <w:t>Ciento veintinueve mil novecientos noventa y seis</w:t>
            </w:r>
            <w:r>
              <w:rPr>
                <w:rFonts w:ascii="Arial" w:hAnsi="Arial" w:cs="Arial"/>
                <w:lang w:val="es-BO"/>
              </w:rPr>
              <w:t xml:space="preserve"> 00</w:t>
            </w:r>
            <w:r w:rsidRPr="00CC07AB">
              <w:rPr>
                <w:rFonts w:ascii="Arial" w:hAnsi="Arial" w:cs="Arial"/>
                <w:lang w:val="es-BO"/>
              </w:rPr>
              <w:t>/100 bolivianos)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Default="00F93E62" w:rsidP="00647B4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- </w:t>
            </w:r>
            <w:r w:rsidRPr="008172FD">
              <w:rPr>
                <w:rFonts w:ascii="Arial" w:hAnsi="Arial" w:cs="Arial"/>
                <w:lang w:val="es-BO"/>
              </w:rPr>
              <w:t>Plazo para la activación del servicio de renovación del software por parte del proveed</w:t>
            </w:r>
            <w:r>
              <w:rPr>
                <w:rFonts w:ascii="Arial" w:hAnsi="Arial" w:cs="Arial"/>
                <w:lang w:val="es-BO"/>
              </w:rPr>
              <w:t>or no debe exceder los treinta (30</w:t>
            </w:r>
            <w:r w:rsidRPr="008172FD">
              <w:rPr>
                <w:rFonts w:ascii="Arial" w:hAnsi="Arial" w:cs="Arial"/>
                <w:lang w:val="es-BO"/>
              </w:rPr>
              <w:t>) días calendario computados a partir del día siguiente hábil de la suscripción de contrato.</w:t>
            </w:r>
          </w:p>
          <w:p w:rsidR="00F93E62" w:rsidRPr="008172FD" w:rsidRDefault="00F93E62" w:rsidP="00647B4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- </w:t>
            </w:r>
            <w:r w:rsidRPr="008172FD">
              <w:rPr>
                <w:rFonts w:ascii="Arial" w:hAnsi="Arial" w:cs="Arial"/>
                <w:lang w:val="es-BO"/>
              </w:rPr>
              <w:t>El servicio tendrá una vigencia de un año calendario, iniciando el 18 de mayo de 2024 y finalizando el 17 de mayo de 2025, con modalidad de soporte 24/7.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DB66C3" w:rsidRDefault="00F93E62" w:rsidP="00647B4B">
            <w:pPr>
              <w:jc w:val="both"/>
            </w:pPr>
            <w:r w:rsidRPr="00193667">
              <w:t>La activación del soporte se podrá realizar en forma física o remota en coordinación con personal que designe ENDE.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464AEB" w:rsidRDefault="00F93E62" w:rsidP="00647B4B">
            <w:pPr>
              <w:jc w:val="both"/>
              <w:rPr>
                <w:rFonts w:ascii="Arial" w:hAnsi="Arial" w:cs="Arial"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>El proponente adjudicado deberá constituir la garant</w:t>
            </w:r>
            <w:r>
              <w:rPr>
                <w:rFonts w:ascii="Arial" w:hAnsi="Arial" w:cs="Arial"/>
                <w:lang w:val="es-BO"/>
              </w:rPr>
              <w:t xml:space="preserve">ía del cumplimiento de contrato equivalente al </w:t>
            </w:r>
            <w:r w:rsidRPr="00A769DA">
              <w:rPr>
                <w:rFonts w:ascii="Arial" w:hAnsi="Arial" w:cs="Arial"/>
                <w:lang w:val="es-BO"/>
              </w:rPr>
              <w:t>7% o del 3.5% (según corresponda) del monto del contrato.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BF4F2F" w:rsidRDefault="00F93E62" w:rsidP="00647B4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BF4F2F" w:rsidRDefault="00F93E62" w:rsidP="00647B4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BF4F2F" w:rsidRDefault="00F93E62" w:rsidP="00647B4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8"/>
      </w:tblGrid>
      <w:tr w:rsidR="00F93E62" w:rsidRPr="00A40276" w:rsidTr="00647B4B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</w:rPr>
            </w:pPr>
          </w:p>
        </w:tc>
      </w:tr>
      <w:tr w:rsidR="00F93E62" w:rsidRPr="00A40276" w:rsidTr="00647B4B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F93E62" w:rsidRPr="009020C4" w:rsidRDefault="00F93E62" w:rsidP="00647B4B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F93E62" w:rsidRPr="009020C4" w:rsidRDefault="00F93E62" w:rsidP="00647B4B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F93E62" w:rsidRPr="009020C4" w:rsidRDefault="00F93E62" w:rsidP="00647B4B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F93E62" w:rsidRPr="009020C4" w:rsidRDefault="00F93E62" w:rsidP="00647B4B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F93E62" w:rsidRPr="00A40276" w:rsidTr="00647B4B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765F1B" w:rsidRDefault="00F93E62" w:rsidP="00647B4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93E62" w:rsidRPr="00765F1B" w:rsidRDefault="00F93E62" w:rsidP="00647B4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93E62" w:rsidRPr="00A40276" w:rsidRDefault="00F93E62" w:rsidP="00647B4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93E62" w:rsidRPr="00A40276" w:rsidTr="00647B4B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93E62" w:rsidRPr="00765F1B" w:rsidRDefault="00F93E62" w:rsidP="00647B4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175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93E62" w:rsidRPr="00F93E62" w:rsidRDefault="00F93E62" w:rsidP="00F93E6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F93E62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F93E62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F93E62" w:rsidRPr="00A40276" w:rsidRDefault="00F93E62" w:rsidP="00647B4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93E62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93E62" w:rsidRPr="00A40276" w:rsidTr="00647B4B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14:30 a 18:30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F93E62" w:rsidRPr="00A40276" w:rsidRDefault="00F93E62" w:rsidP="00647B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Default="00F93E62" w:rsidP="00647B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Marlene Cotrina Trujillo</w:t>
            </w:r>
          </w:p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84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A40276" w:rsidRDefault="00F93E62" w:rsidP="00647B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marlene.cotrina</w:t>
            </w:r>
            <w:r w:rsidRPr="00531E9A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93E62" w:rsidRPr="00A40276" w:rsidTr="00647B4B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E62" w:rsidRPr="00666960" w:rsidRDefault="00F93E62" w:rsidP="00647B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</w:t>
            </w:r>
            <w:r>
              <w:rPr>
                <w:rFonts w:ascii="Arial" w:hAnsi="Arial" w:cs="Arial"/>
                <w:lang w:val="es-BO"/>
              </w:rPr>
              <w:lastRenderedPageBreak/>
              <w:t>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F93E62" w:rsidRPr="00F01F1F" w:rsidRDefault="00F93E62" w:rsidP="00647B4B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93E62" w:rsidRPr="00F01F1F" w:rsidRDefault="00F93E62" w:rsidP="00647B4B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lastRenderedPageBreak/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93E62" w:rsidRPr="00A40276" w:rsidTr="00647B4B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F93E62" w:rsidRPr="00A40276" w:rsidRDefault="00F93E62" w:rsidP="00647B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F93E62" w:rsidRPr="00A40276" w:rsidRDefault="00F93E62" w:rsidP="00647B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93E62" w:rsidRPr="006C03E5" w:rsidRDefault="00F93E62" w:rsidP="00F93E62">
      <w:pPr>
        <w:pStyle w:val="Ttulo"/>
        <w:spacing w:before="0" w:after="0"/>
        <w:jc w:val="both"/>
      </w:pPr>
    </w:p>
    <w:p w:rsidR="00F93E62" w:rsidRPr="006C03E5" w:rsidRDefault="00F93E62" w:rsidP="00F93E62">
      <w:pPr>
        <w:pStyle w:val="Ttulo"/>
        <w:spacing w:before="0" w:after="0"/>
        <w:jc w:val="both"/>
      </w:pPr>
    </w:p>
    <w:p w:rsidR="00F93E62" w:rsidRDefault="00F93E62" w:rsidP="00F93E62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F93E62" w:rsidRDefault="00F93E62" w:rsidP="00F93E62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F93E62" w:rsidRPr="00A40276" w:rsidTr="00647B4B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93E62" w:rsidRPr="00A40276" w:rsidRDefault="00F93E62" w:rsidP="00647B4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93E62" w:rsidRPr="00A40276" w:rsidRDefault="00F93E62" w:rsidP="00F93E6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93E62" w:rsidRPr="00A40276" w:rsidRDefault="00F93E62" w:rsidP="00F93E6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F93E62" w:rsidRPr="00A40276" w:rsidRDefault="00F93E62" w:rsidP="00F93E6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93E62" w:rsidRPr="00A40276" w:rsidRDefault="00F93E62" w:rsidP="00647B4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F93E62" w:rsidRPr="00A40276" w:rsidRDefault="00F93E62" w:rsidP="00F93E6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93E62" w:rsidRPr="00A40276" w:rsidRDefault="00F93E62" w:rsidP="00F93E6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F93E62" w:rsidRPr="00A40276" w:rsidRDefault="00F93E62" w:rsidP="00647B4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Default="00F93E62" w:rsidP="00F93E62">
      <w:pPr>
        <w:rPr>
          <w:lang w:val="es-BO"/>
        </w:rPr>
      </w:pPr>
    </w:p>
    <w:p w:rsidR="00F93E62" w:rsidRPr="004B26AD" w:rsidRDefault="00F93E62" w:rsidP="00F93E6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93E62" w:rsidRPr="000C6821" w:rsidRDefault="00F93E62" w:rsidP="00F93E62">
      <w:pPr>
        <w:rPr>
          <w:rFonts w:cs="Arial"/>
          <w:sz w:val="18"/>
          <w:szCs w:val="18"/>
        </w:rPr>
      </w:pPr>
    </w:p>
    <w:tbl>
      <w:tblPr>
        <w:tblW w:w="56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580"/>
        <w:gridCol w:w="251"/>
        <w:gridCol w:w="140"/>
        <w:gridCol w:w="413"/>
        <w:gridCol w:w="153"/>
        <w:gridCol w:w="427"/>
        <w:gridCol w:w="143"/>
        <w:gridCol w:w="568"/>
        <w:gridCol w:w="145"/>
        <w:gridCol w:w="141"/>
        <w:gridCol w:w="425"/>
        <w:gridCol w:w="141"/>
        <w:gridCol w:w="566"/>
        <w:gridCol w:w="141"/>
        <w:gridCol w:w="282"/>
        <w:gridCol w:w="2692"/>
        <w:gridCol w:w="149"/>
      </w:tblGrid>
      <w:tr w:rsidR="00F93E62" w:rsidRPr="000C6821" w:rsidTr="00647B4B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93E62" w:rsidRPr="000C6821" w:rsidTr="00647B4B">
        <w:trPr>
          <w:trHeight w:val="284"/>
          <w:jc w:val="center"/>
        </w:trPr>
        <w:tc>
          <w:tcPr>
            <w:tcW w:w="171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93E62" w:rsidRPr="000C6821" w:rsidTr="00647B4B">
        <w:trPr>
          <w:trHeight w:val="130"/>
          <w:jc w:val="center"/>
        </w:trPr>
        <w:tc>
          <w:tcPr>
            <w:tcW w:w="2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393C8D">
              <w:rPr>
                <w:rFonts w:ascii="Arial" w:hAnsi="Arial" w:cs="Arial"/>
              </w:rPr>
              <w:t>Falsuri</w:t>
            </w:r>
            <w:proofErr w:type="spellEnd"/>
            <w:r w:rsidRPr="00393C8D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4FE">
              <w:rPr>
                <w:rFonts w:ascii="Arial" w:hAnsi="Arial" w:cs="Arial"/>
                <w:lang w:val="es-BO"/>
              </w:rPr>
              <w:t>Plataforma RUPE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3515FE" w:rsidRDefault="00F93E62" w:rsidP="00647B4B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F93E62" w:rsidRDefault="00F93E62" w:rsidP="00647B4B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F93E62" w:rsidRDefault="00F93E62" w:rsidP="00647B4B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F93E62" w:rsidRPr="003515FE" w:rsidRDefault="00F93E62" w:rsidP="00647B4B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53"/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74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FA10AE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73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E62" w:rsidRPr="000C6821" w:rsidTr="00647B4B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E62" w:rsidRPr="000C6821" w:rsidRDefault="00F93E62" w:rsidP="00647B4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3E62" w:rsidRPr="000C6821" w:rsidRDefault="00F93E62" w:rsidP="00647B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93E62" w:rsidRDefault="00F93E62" w:rsidP="00F93E62">
      <w:pPr>
        <w:rPr>
          <w:rFonts w:cs="Arial"/>
          <w:i/>
          <w:sz w:val="14"/>
          <w:szCs w:val="18"/>
          <w:lang w:val="es-BO"/>
        </w:rPr>
      </w:pPr>
    </w:p>
    <w:p w:rsidR="00F93E62" w:rsidRDefault="00F93E62" w:rsidP="00F93E62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93E62" w:rsidRDefault="00F93E62" w:rsidP="00F93E62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F93E62" w:rsidRDefault="00F93E62" w:rsidP="00F93E62">
      <w:pPr>
        <w:rPr>
          <w:rFonts w:cs="Arial"/>
          <w:i/>
          <w:sz w:val="14"/>
          <w:szCs w:val="18"/>
        </w:rPr>
      </w:pPr>
    </w:p>
    <w:p w:rsidR="00F93E62" w:rsidRDefault="00F93E62" w:rsidP="00F93E62">
      <w:pPr>
        <w:rPr>
          <w:rFonts w:cs="Arial"/>
          <w:i/>
          <w:sz w:val="14"/>
          <w:szCs w:val="18"/>
        </w:rPr>
      </w:pPr>
      <w:bookmarkStart w:id="2" w:name="_GoBack"/>
      <w:bookmarkEnd w:id="1"/>
      <w:bookmarkEnd w:id="2"/>
    </w:p>
    <w:sectPr w:rsidR="00F93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5"/>
    <w:rsid w:val="00156873"/>
    <w:rsid w:val="002F747F"/>
    <w:rsid w:val="003D1EE6"/>
    <w:rsid w:val="005F5EF9"/>
    <w:rsid w:val="00602F99"/>
    <w:rsid w:val="00B74CF6"/>
    <w:rsid w:val="00E07715"/>
    <w:rsid w:val="00E62810"/>
    <w:rsid w:val="00F36270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ADA1"/>
  <w15:chartTrackingRefBased/>
  <w15:docId w15:val="{AEEC2EF8-61E5-4E01-8E27-A1E0B0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1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71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0771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71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71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0771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0771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0771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0771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0771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71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71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71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71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E0771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71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71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0771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71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71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07715"/>
    <w:rPr>
      <w:color w:val="0000FF"/>
      <w:u w:val="single"/>
    </w:rPr>
  </w:style>
  <w:style w:type="paragraph" w:styleId="Encabezado">
    <w:name w:val="header"/>
    <w:basedOn w:val="Normal"/>
    <w:link w:val="EncabezadoCar"/>
    <w:rsid w:val="00E07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71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715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E0771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0771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0771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715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E0771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0771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0771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0771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71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71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0771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71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E0771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0771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0771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715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locked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715"/>
    <w:pPr>
      <w:spacing w:after="100"/>
      <w:ind w:left="160"/>
    </w:pPr>
  </w:style>
  <w:style w:type="paragraph" w:customStyle="1" w:styleId="Estilo">
    <w:name w:val="Estilo"/>
    <w:rsid w:val="00E07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E077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71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71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71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0771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7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71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7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077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0771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0771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0771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E07715"/>
    <w:rPr>
      <w:vertAlign w:val="superscript"/>
    </w:rPr>
  </w:style>
  <w:style w:type="paragraph" w:customStyle="1" w:styleId="BodyText21">
    <w:name w:val="Body Text 21"/>
    <w:basedOn w:val="Normal"/>
    <w:rsid w:val="00E0771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0771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71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715"/>
  </w:style>
  <w:style w:type="paragraph" w:customStyle="1" w:styleId="Document1">
    <w:name w:val="Document 1"/>
    <w:rsid w:val="00E0771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E0771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71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71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E0771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0771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71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0771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0771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0771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0771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0771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0771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0771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71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71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715"/>
    <w:rPr>
      <w:color w:val="808080"/>
    </w:rPr>
  </w:style>
  <w:style w:type="character" w:styleId="Textoennegrita">
    <w:name w:val="Strong"/>
    <w:basedOn w:val="Fuentedeprrafopredeter"/>
    <w:qFormat/>
    <w:rsid w:val="00E0771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0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077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0771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71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07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0771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E07715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E07715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E07715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F747F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9</cp:revision>
  <dcterms:created xsi:type="dcterms:W3CDTF">2024-01-16T20:03:00Z</dcterms:created>
  <dcterms:modified xsi:type="dcterms:W3CDTF">2024-03-07T22:24:00Z</dcterms:modified>
</cp:coreProperties>
</file>